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DCD6">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46765006">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4278C4FF">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5622014A">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138F0078">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35AA45B1">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2B16FAB0">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7F79E1B8">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5205F607">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55C7C945">
      <w:pPr>
        <w:jc w:val="center"/>
        <w:rPr>
          <w:rFonts w:hint="eastAsia" w:ascii="仿宋_GB2312" w:eastAsia="仿宋_GB2312"/>
          <w:sz w:val="32"/>
          <w:szCs w:val="32"/>
        </w:rPr>
      </w:pPr>
      <w:r>
        <w:rPr>
          <w:rFonts w:hint="eastAsia" w:ascii="仿宋_GB2312" w:eastAsia="仿宋_GB2312"/>
          <w:sz w:val="32"/>
          <w:szCs w:val="32"/>
        </w:rPr>
        <w:t>武东院字〔20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13DA45EB">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2BA5E488">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32F85952">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关于印发《</w:t>
      </w:r>
      <w:r>
        <w:rPr>
          <w:rFonts w:hint="eastAsia" w:ascii="方正小标宋_GBK" w:hAnsi="方正小标宋_GBK" w:eastAsia="方正小标宋_GBK" w:cs="方正小标宋_GBK"/>
          <w:b w:val="0"/>
          <w:bCs/>
          <w:kern w:val="0"/>
          <w:sz w:val="44"/>
          <w:szCs w:val="44"/>
        </w:rPr>
        <w:t>武汉东湖学院2022年工作要点</w:t>
      </w:r>
      <w:r>
        <w:rPr>
          <w:rFonts w:hint="eastAsia" w:ascii="方正小标宋_GBK" w:hAnsi="方正小标宋_GBK" w:eastAsia="方正小标宋_GBK" w:cs="方正小标宋_GBK"/>
          <w:b w:val="0"/>
          <w:bCs/>
          <w:kern w:val="0"/>
          <w:sz w:val="44"/>
          <w:szCs w:val="44"/>
          <w:lang w:val="en-US" w:eastAsia="zh-CN"/>
        </w:rPr>
        <w:t>》</w:t>
      </w:r>
    </w:p>
    <w:p w14:paraId="7A8F47B3">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default" w:ascii="华文中宋" w:hAnsi="华文中宋" w:eastAsia="华文中宋" w:cs="Times New Roman"/>
          <w:b w:val="0"/>
          <w:bCs/>
          <w:kern w:val="0"/>
          <w:sz w:val="44"/>
          <w:szCs w:val="44"/>
          <w:lang w:val="en-US"/>
        </w:rPr>
      </w:pPr>
      <w:r>
        <w:rPr>
          <w:rFonts w:hint="eastAsia" w:ascii="方正小标宋_GBK" w:hAnsi="方正小标宋_GBK" w:eastAsia="方正小标宋_GBK" w:cs="方正小标宋_GBK"/>
          <w:b w:val="0"/>
          <w:bCs/>
          <w:kern w:val="0"/>
          <w:sz w:val="44"/>
          <w:szCs w:val="44"/>
          <w:lang w:val="en-US" w:eastAsia="zh-CN"/>
        </w:rPr>
        <w:t>的通知</w:t>
      </w:r>
    </w:p>
    <w:p w14:paraId="7BD964F8">
      <w:pPr>
        <w:widowControl/>
        <w:adjustRightInd w:val="0"/>
        <w:snapToGrid w:val="0"/>
        <w:spacing w:line="500" w:lineRule="exact"/>
        <w:ind w:firstLine="561"/>
        <w:jc w:val="left"/>
        <w:rPr>
          <w:rFonts w:ascii="Times New Roman" w:hAnsi="Times New Roman" w:eastAsia="仿宋_GB2312" w:cs="Times New Roman"/>
          <w:b/>
          <w:kern w:val="0"/>
          <w:sz w:val="30"/>
          <w:szCs w:val="30"/>
        </w:rPr>
      </w:pPr>
    </w:p>
    <w:p w14:paraId="02BC8DF7">
      <w:pPr>
        <w:keepNext w:val="0"/>
        <w:keepLines w:val="0"/>
        <w:pageBreakBefore w:val="0"/>
        <w:widowControl w:val="0"/>
        <w:kinsoku/>
        <w:wordWrap/>
        <w:overflowPunct/>
        <w:topLinePunct w:val="0"/>
        <w:autoSpaceDE/>
        <w:autoSpaceDN/>
        <w:bidi w:val="0"/>
        <w:adjustRightInd/>
        <w:snapToGrid/>
        <w:spacing w:line="588" w:lineRule="exact"/>
        <w:ind w:right="420"/>
        <w:jc w:val="left"/>
        <w:textAlignment w:val="auto"/>
        <w:rPr>
          <w:rFonts w:hint="eastAsia" w:ascii="仿宋_GB2312" w:hAnsi="Arial" w:eastAsia="仿宋_GB2312"/>
          <w:color w:val="000000"/>
          <w:sz w:val="32"/>
          <w:szCs w:val="32"/>
          <w:lang w:val="en-US" w:eastAsia="zh-CN"/>
        </w:rPr>
      </w:pPr>
      <w:r>
        <w:rPr>
          <w:rFonts w:hint="eastAsia" w:ascii="仿宋_GB2312" w:hAnsi="Arial" w:eastAsia="仿宋_GB2312"/>
          <w:color w:val="000000"/>
          <w:sz w:val="32"/>
          <w:szCs w:val="32"/>
          <w:lang w:val="en-US" w:eastAsia="zh-CN"/>
        </w:rPr>
        <w:t>各单位、各部门：</w:t>
      </w:r>
    </w:p>
    <w:p w14:paraId="63936F71">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经学校研究决定，现将《武汉东湖学院2022年工作要点》印发给你们，请认真遵照执行。</w:t>
      </w:r>
    </w:p>
    <w:p w14:paraId="413A78A9">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p>
    <w:p w14:paraId="5346E96E">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附件：武汉东湖学院2022年工作要点</w:t>
      </w:r>
    </w:p>
    <w:p w14:paraId="339869B9">
      <w:pPr>
        <w:pStyle w:val="2"/>
        <w:rPr>
          <w:rFonts w:hint="eastAsia" w:ascii="Times New Roman" w:hAnsi="Times New Roman" w:eastAsia="仿宋_GB2312" w:cs="Times New Roman"/>
          <w:b/>
          <w:kern w:val="0"/>
          <w:sz w:val="30"/>
          <w:szCs w:val="30"/>
          <w:lang w:val="en-US" w:eastAsia="zh-CN"/>
        </w:rPr>
      </w:pPr>
    </w:p>
    <w:p w14:paraId="115BAC60">
      <w:pPr>
        <w:pStyle w:val="2"/>
        <w:rPr>
          <w:rFonts w:hint="eastAsia" w:ascii="Times New Roman" w:hAnsi="Times New Roman" w:eastAsia="仿宋_GB2312" w:cs="Times New Roman"/>
          <w:b/>
          <w:kern w:val="0"/>
          <w:sz w:val="30"/>
          <w:szCs w:val="30"/>
          <w:lang w:val="en-US" w:eastAsia="zh-CN"/>
        </w:rPr>
      </w:pPr>
    </w:p>
    <w:p w14:paraId="36201B5A">
      <w:pPr>
        <w:pStyle w:val="2"/>
        <w:rPr>
          <w:rFonts w:hint="eastAsia" w:ascii="仿宋_GB2312" w:hAnsi="仿宋_GB2312" w:eastAsia="仿宋_GB2312" w:cs="仿宋_GB2312"/>
          <w:b w:val="0"/>
          <w:bCs/>
          <w:kern w:val="0"/>
          <w:sz w:val="32"/>
          <w:szCs w:val="32"/>
          <w:lang w:val="en-US" w:eastAsia="zh-CN"/>
        </w:rPr>
      </w:pPr>
      <w:r>
        <w:rPr>
          <w:rFonts w:hint="eastAsia" w:ascii="Times New Roman" w:hAnsi="Times New Roman" w:eastAsia="仿宋_GB2312" w:cs="Times New Roman"/>
          <w:b/>
          <w:kern w:val="0"/>
          <w:sz w:val="30"/>
          <w:szCs w:val="30"/>
          <w:lang w:val="en-US" w:eastAsia="zh-CN"/>
        </w:rPr>
        <w:t xml:space="preserve">                  </w:t>
      </w:r>
      <w:r>
        <w:rPr>
          <w:rFonts w:hint="eastAsia" w:ascii="仿宋_GB2312" w:hAnsi="仿宋_GB2312" w:eastAsia="仿宋_GB2312" w:cs="仿宋_GB2312"/>
          <w:b w:val="0"/>
          <w:bCs/>
          <w:kern w:val="0"/>
          <w:sz w:val="32"/>
          <w:szCs w:val="32"/>
          <w:lang w:val="en-US" w:eastAsia="zh-CN"/>
        </w:rPr>
        <w:t xml:space="preserve">                </w:t>
      </w:r>
      <w:r>
        <w:rPr>
          <w:rFonts w:hint="default" w:ascii="Times New Roman" w:hAnsi="Times New Roman" w:eastAsia="仿宋_GB2312" w:cs="Times New Roman"/>
          <w:b w:val="0"/>
          <w:bCs/>
          <w:kern w:val="0"/>
          <w:sz w:val="32"/>
          <w:szCs w:val="32"/>
          <w:lang w:val="en-US" w:eastAsia="zh-CN"/>
        </w:rPr>
        <w:t>2022</w:t>
      </w:r>
      <w:r>
        <w:rPr>
          <w:rFonts w:hint="eastAsia" w:ascii="仿宋_GB2312" w:hAnsi="仿宋_GB2312" w:eastAsia="仿宋_GB2312" w:cs="仿宋_GB2312"/>
          <w:b w:val="0"/>
          <w:bCs/>
          <w:kern w:val="0"/>
          <w:sz w:val="32"/>
          <w:szCs w:val="32"/>
          <w:lang w:val="en-US" w:eastAsia="zh-CN"/>
        </w:rPr>
        <w:t>年</w:t>
      </w:r>
      <w:r>
        <w:rPr>
          <w:rFonts w:hint="eastAsia" w:ascii="Times New Roman" w:hAnsi="Times New Roman" w:eastAsia="仿宋_GB2312" w:cs="Times New Roman"/>
          <w:b w:val="0"/>
          <w:bCs/>
          <w:kern w:val="0"/>
          <w:sz w:val="32"/>
          <w:szCs w:val="32"/>
          <w:lang w:val="en-US" w:eastAsia="zh-CN"/>
        </w:rPr>
        <w:t>2</w:t>
      </w:r>
      <w:r>
        <w:rPr>
          <w:rFonts w:hint="eastAsia" w:ascii="仿宋_GB2312" w:hAnsi="仿宋_GB2312" w:eastAsia="仿宋_GB2312" w:cs="仿宋_GB2312"/>
          <w:b w:val="0"/>
          <w:bCs/>
          <w:kern w:val="0"/>
          <w:sz w:val="32"/>
          <w:szCs w:val="32"/>
          <w:lang w:val="en-US" w:eastAsia="zh-CN"/>
        </w:rPr>
        <w:t>月</w:t>
      </w:r>
      <w:r>
        <w:rPr>
          <w:rFonts w:hint="eastAsia" w:ascii="Times New Roman" w:hAnsi="Times New Roman" w:eastAsia="仿宋_GB2312" w:cs="Times New Roman"/>
          <w:b w:val="0"/>
          <w:bCs/>
          <w:kern w:val="0"/>
          <w:sz w:val="32"/>
          <w:szCs w:val="32"/>
          <w:lang w:val="en-US" w:eastAsia="zh-CN"/>
        </w:rPr>
        <w:t>18</w:t>
      </w:r>
      <w:r>
        <w:rPr>
          <w:rFonts w:hint="eastAsia" w:ascii="仿宋_GB2312" w:hAnsi="仿宋_GB2312" w:eastAsia="仿宋_GB2312" w:cs="仿宋_GB2312"/>
          <w:b w:val="0"/>
          <w:bCs/>
          <w:kern w:val="0"/>
          <w:sz w:val="32"/>
          <w:szCs w:val="32"/>
          <w:lang w:val="en-US" w:eastAsia="zh-CN"/>
        </w:rPr>
        <w:t>日</w:t>
      </w:r>
    </w:p>
    <w:p w14:paraId="162E57E8">
      <w:pPr>
        <w:pStyle w:val="2"/>
        <w:rPr>
          <w:rFonts w:hint="eastAsia" w:ascii="仿宋_GB2312" w:hAnsi="仿宋_GB2312" w:eastAsia="仿宋_GB2312" w:cs="仿宋_GB2312"/>
          <w:b w:val="0"/>
          <w:bCs/>
          <w:kern w:val="0"/>
          <w:sz w:val="32"/>
          <w:szCs w:val="32"/>
          <w:lang w:val="en-US" w:eastAsia="zh-CN"/>
        </w:rPr>
      </w:pPr>
    </w:p>
    <w:p w14:paraId="5DD9975D">
      <w:pPr>
        <w:pStyle w:val="2"/>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附件</w:t>
      </w:r>
    </w:p>
    <w:p w14:paraId="0E43CCE9">
      <w:pPr>
        <w:pStyle w:val="2"/>
        <w:jc w:val="center"/>
        <w:rPr>
          <w:rFonts w:hint="eastAsia" w:ascii="仿宋_GB2312" w:hAnsi="仿宋_GB2312" w:eastAsia="仿宋_GB2312" w:cs="仿宋_GB2312"/>
          <w:b w:val="0"/>
          <w:bCs/>
          <w:kern w:val="0"/>
          <w:sz w:val="32"/>
          <w:szCs w:val="32"/>
          <w:lang w:val="en-US" w:eastAsia="zh-CN"/>
        </w:rPr>
      </w:pPr>
      <w:r>
        <w:rPr>
          <w:rFonts w:hint="eastAsia" w:ascii="方正小标宋_GBK" w:hAnsi="方正小标宋_GBK" w:eastAsia="方正小标宋_GBK" w:cs="方正小标宋_GBK"/>
          <w:b w:val="0"/>
          <w:bCs/>
          <w:kern w:val="0"/>
          <w:sz w:val="44"/>
          <w:szCs w:val="44"/>
        </w:rPr>
        <w:t>武汉东湖学院2022年工作要点</w:t>
      </w:r>
    </w:p>
    <w:p w14:paraId="13394A51">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年是党的二十大和省第十二次党代会召开之年，也是学校南校区启用之年。学校工作</w:t>
      </w:r>
      <w:r>
        <w:rPr>
          <w:rFonts w:hint="eastAsia" w:ascii="Times New Roman" w:hAnsi="Times New Roman" w:eastAsia="仿宋_GB2312" w:cs="Times New Roman"/>
          <w:b/>
          <w:kern w:val="0"/>
          <w:sz w:val="32"/>
          <w:szCs w:val="32"/>
        </w:rPr>
        <w:t>总体要求</w:t>
      </w:r>
      <w:r>
        <w:rPr>
          <w:rFonts w:hint="eastAsia" w:ascii="Times New Roman" w:hAnsi="Times New Roman" w:eastAsia="仿宋_GB2312" w:cs="Times New Roman"/>
          <w:bCs/>
          <w:kern w:val="0"/>
          <w:sz w:val="32"/>
          <w:szCs w:val="32"/>
        </w:rPr>
        <w:t>是</w:t>
      </w:r>
      <w:r>
        <w:rPr>
          <w:rFonts w:hint="eastAsia" w:ascii="Times New Roman" w:hAnsi="Times New Roman" w:eastAsia="仿宋_GB2312" w:cs="Times New Roman"/>
          <w:kern w:val="0"/>
          <w:sz w:val="32"/>
          <w:szCs w:val="32"/>
        </w:rPr>
        <w:t>：</w:t>
      </w:r>
      <w:bookmarkStart w:id="0" w:name="_Hlk88745100"/>
      <w:r>
        <w:rPr>
          <w:rFonts w:hint="eastAsia" w:ascii="Times New Roman" w:hAnsi="Times New Roman" w:eastAsia="仿宋_GB2312" w:cs="Times New Roman"/>
          <w:kern w:val="0"/>
          <w:sz w:val="32"/>
          <w:szCs w:val="32"/>
        </w:rPr>
        <w:t>坚持以习近平新时代中国特色社会主义思想为指导</w:t>
      </w:r>
      <w:bookmarkEnd w:id="0"/>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全面贯彻落实党的</w:t>
      </w:r>
      <w:r>
        <w:rPr>
          <w:rFonts w:hint="eastAsia" w:ascii="Times New Roman" w:hAnsi="Times New Roman" w:eastAsia="仿宋_GB2312" w:cs="Times New Roman"/>
          <w:kern w:val="0"/>
          <w:sz w:val="32"/>
          <w:szCs w:val="32"/>
        </w:rPr>
        <w:t>教育方针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落实立德树人根本任务，坚持稳中求进工作总基调，巩固拓展新冠疫情防控和教育教学改革成果，以推动高质量发展为主题，以改革创新为根本动力，着力推进学校“十四五”规划各项工作任务，为如期达成学校发展目标、实现学校“十年崛起”奠定坚实的基础，以实际行动迎接党的二十大召开。</w:t>
      </w:r>
    </w:p>
    <w:p w14:paraId="09F8BEC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w:t>
      </w:r>
      <w:r>
        <w:rPr>
          <w:rFonts w:ascii="Times New Roman" w:hAnsi="Times New Roman" w:eastAsia="黑体" w:cs="Times New Roman"/>
          <w:kern w:val="0"/>
          <w:sz w:val="32"/>
          <w:szCs w:val="32"/>
        </w:rPr>
        <w:t>加强</w:t>
      </w:r>
      <w:r>
        <w:rPr>
          <w:rFonts w:hint="eastAsia" w:ascii="Times New Roman" w:hAnsi="Times New Roman" w:eastAsia="黑体" w:cs="Times New Roman"/>
          <w:kern w:val="0"/>
          <w:sz w:val="32"/>
          <w:szCs w:val="32"/>
        </w:rPr>
        <w:t>党的领导</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以高质量</w:t>
      </w:r>
      <w:r>
        <w:rPr>
          <w:rFonts w:ascii="Times New Roman" w:hAnsi="Times New Roman" w:eastAsia="黑体" w:cs="Times New Roman"/>
          <w:kern w:val="0"/>
          <w:sz w:val="32"/>
          <w:szCs w:val="32"/>
        </w:rPr>
        <w:t>党建</w:t>
      </w:r>
      <w:r>
        <w:rPr>
          <w:rFonts w:hint="eastAsia" w:ascii="Times New Roman" w:hAnsi="Times New Roman" w:eastAsia="黑体" w:cs="Times New Roman"/>
          <w:kern w:val="0"/>
          <w:sz w:val="32"/>
          <w:szCs w:val="32"/>
        </w:rPr>
        <w:t>和思想政治</w:t>
      </w:r>
      <w:r>
        <w:rPr>
          <w:rFonts w:ascii="Times New Roman" w:hAnsi="Times New Roman" w:eastAsia="黑体" w:cs="Times New Roman"/>
          <w:kern w:val="0"/>
          <w:sz w:val="32"/>
          <w:szCs w:val="32"/>
        </w:rPr>
        <w:t>工作</w:t>
      </w:r>
      <w:r>
        <w:rPr>
          <w:rFonts w:hint="eastAsia" w:ascii="Times New Roman" w:hAnsi="Times New Roman" w:eastAsia="黑体" w:cs="Times New Roman"/>
          <w:kern w:val="0"/>
          <w:sz w:val="32"/>
          <w:szCs w:val="32"/>
          <w:lang w:eastAsia="zh-CN"/>
        </w:rPr>
        <w:t>引领</w:t>
      </w:r>
      <w:r>
        <w:rPr>
          <w:rFonts w:hint="eastAsia" w:ascii="Times New Roman" w:hAnsi="Times New Roman" w:eastAsia="黑体" w:cs="Times New Roman"/>
          <w:kern w:val="0"/>
          <w:sz w:val="32"/>
          <w:szCs w:val="32"/>
        </w:rPr>
        <w:t>学校高质量发展</w:t>
      </w:r>
    </w:p>
    <w:p w14:paraId="1A3E36D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1.持续加强思想理论武装</w:t>
      </w:r>
    </w:p>
    <w:p w14:paraId="0CC345F7">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把政治建设摆在首要位置，围绕学校事业发展，全面提升政治引领力、支部组织力、干部执行力、发展推动力，为学校高质量发展提供坚强思想保证和组织保证，推动落实</w:t>
      </w:r>
      <w:r>
        <w:rPr>
          <w:rFonts w:ascii="Times New Roman" w:hAnsi="Times New Roman" w:eastAsia="仿宋_GB2312" w:cs="Times New Roman"/>
          <w:kern w:val="0"/>
          <w:sz w:val="32"/>
          <w:szCs w:val="32"/>
        </w:rPr>
        <w:t>《中国共产党普通高等学校基层组织工作条例》</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民办学校党建工作重点任务</w:t>
      </w:r>
      <w:r>
        <w:rPr>
          <w:rFonts w:hint="eastAsia" w:ascii="Times New Roman" w:hAnsi="Times New Roman" w:eastAsia="仿宋_GB2312" w:cs="Times New Roman"/>
          <w:kern w:val="0"/>
          <w:sz w:val="32"/>
          <w:szCs w:val="32"/>
        </w:rPr>
        <w:t>》。以《中共中央关于党的百年奋斗重大成就和历史经验的决议》和党的二十大精神宣传学习为重点，抓好校级领导班子“第一议题”、党委理论中心组集体学习</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支部主题党日和“三会一课”等工作制度落实，跟踪学习党的最新理论政策，不断巩固拓展党史学习教育成果，完善“我为群众办实事”实践活动落实机制，建立学习教育常态化、长效化制度。</w:t>
      </w:r>
    </w:p>
    <w:p w14:paraId="4303BFFE">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2.落实党建工作各项任务</w:t>
      </w:r>
    </w:p>
    <w:p w14:paraId="177D9878">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积极培育党建</w:t>
      </w:r>
      <w:r>
        <w:rPr>
          <w:rFonts w:ascii="Times New Roman" w:hAnsi="Times New Roman" w:eastAsia="仿宋_GB2312" w:cs="Times New Roman"/>
          <w:kern w:val="0"/>
          <w:sz w:val="32"/>
          <w:szCs w:val="32"/>
        </w:rPr>
        <w:t>工作标杆院系</w:t>
      </w:r>
      <w:r>
        <w:rPr>
          <w:rFonts w:hint="eastAsia" w:ascii="Times New Roman" w:hAnsi="Times New Roman" w:eastAsia="仿宋_GB2312" w:cs="Times New Roman"/>
          <w:kern w:val="0"/>
          <w:sz w:val="32"/>
          <w:szCs w:val="32"/>
        </w:rPr>
        <w:t>、样板</w:t>
      </w:r>
      <w:r>
        <w:rPr>
          <w:rFonts w:ascii="Times New Roman" w:hAnsi="Times New Roman" w:eastAsia="仿宋_GB2312" w:cs="Times New Roman"/>
          <w:kern w:val="0"/>
          <w:sz w:val="32"/>
          <w:szCs w:val="32"/>
        </w:rPr>
        <w:t>支部</w:t>
      </w:r>
      <w:r>
        <w:rPr>
          <w:rFonts w:hint="eastAsia" w:ascii="Times New Roman" w:hAnsi="Times New Roman" w:eastAsia="仿宋_GB2312" w:cs="Times New Roman"/>
          <w:kern w:val="0"/>
          <w:sz w:val="32"/>
          <w:szCs w:val="32"/>
        </w:rPr>
        <w:t>、教师党支部</w:t>
      </w:r>
      <w:r>
        <w:rPr>
          <w:rFonts w:ascii="Times New Roman" w:hAnsi="Times New Roman" w:eastAsia="仿宋_GB2312" w:cs="Times New Roman"/>
          <w:kern w:val="0"/>
          <w:sz w:val="32"/>
          <w:szCs w:val="32"/>
        </w:rPr>
        <w:t>书记“</w:t>
      </w:r>
      <w:r>
        <w:rPr>
          <w:rFonts w:hint="eastAsia" w:ascii="Times New Roman" w:hAnsi="Times New Roman" w:eastAsia="仿宋_GB2312" w:cs="Times New Roman"/>
          <w:kern w:val="0"/>
          <w:sz w:val="32"/>
          <w:szCs w:val="32"/>
        </w:rPr>
        <w:t>双带头人</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工作室和</w:t>
      </w:r>
      <w:r>
        <w:rPr>
          <w:rFonts w:ascii="Times New Roman" w:hAnsi="Times New Roman" w:eastAsia="仿宋_GB2312" w:cs="Times New Roman"/>
          <w:kern w:val="0"/>
          <w:sz w:val="32"/>
          <w:szCs w:val="32"/>
        </w:rPr>
        <w:t>思政工作精品项目，</w:t>
      </w:r>
      <w:r>
        <w:rPr>
          <w:rFonts w:hint="eastAsia" w:ascii="Times New Roman" w:hAnsi="Times New Roman" w:eastAsia="仿宋_GB2312" w:cs="Times New Roman"/>
          <w:kern w:val="0"/>
          <w:sz w:val="32"/>
          <w:szCs w:val="32"/>
        </w:rPr>
        <w:t>顺利通过“全国党建工作示范高校”“样板支部”考核验收，密切跟踪第三批党建“双创”评选，争取获批标杆院系。组建南校区党组织工作体系。筹备召开湖北省党建研究会民办高校党建研究专业委员会成立大会，新增获批党建工作项目（成果）省级2项</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国家级1项。</w:t>
      </w:r>
      <w:bookmarkStart w:id="8" w:name="_GoBack"/>
      <w:r>
        <w:rPr>
          <w:rFonts w:hint="eastAsia" w:ascii="Times New Roman" w:hAnsi="Times New Roman" w:eastAsia="仿宋_GB2312" w:cs="Times New Roman"/>
          <w:kern w:val="0"/>
          <w:sz w:val="32"/>
          <w:szCs w:val="32"/>
        </w:rPr>
        <w:t>制定《</w:t>
      </w:r>
      <w:r>
        <w:rPr>
          <w:rFonts w:hint="eastAsia" w:ascii="Times New Roman" w:hAnsi="Times New Roman" w:eastAsia="仿宋_GB2312" w:cs="Times New Roman"/>
          <w:kern w:val="0"/>
          <w:sz w:val="32"/>
          <w:szCs w:val="32"/>
          <w:lang w:eastAsia="zh-CN"/>
        </w:rPr>
        <w:t>全面</w:t>
      </w:r>
      <w:r>
        <w:rPr>
          <w:rFonts w:hint="eastAsia" w:ascii="Times New Roman" w:hAnsi="Times New Roman" w:eastAsia="仿宋_GB2312" w:cs="Times New Roman"/>
          <w:kern w:val="0"/>
          <w:sz w:val="32"/>
          <w:szCs w:val="32"/>
        </w:rPr>
        <w:t>从严治党</w:t>
      </w:r>
      <w:r>
        <w:rPr>
          <w:rFonts w:hint="eastAsia" w:ascii="Times New Roman" w:hAnsi="Times New Roman" w:eastAsia="仿宋_GB2312" w:cs="Times New Roman"/>
          <w:kern w:val="0"/>
          <w:sz w:val="32"/>
          <w:szCs w:val="32"/>
          <w:lang w:eastAsia="zh-CN"/>
        </w:rPr>
        <w:t>主体</w:t>
      </w:r>
      <w:r>
        <w:rPr>
          <w:rFonts w:hint="eastAsia" w:ascii="Times New Roman" w:hAnsi="Times New Roman" w:eastAsia="仿宋_GB2312" w:cs="Times New Roman"/>
          <w:kern w:val="0"/>
          <w:sz w:val="32"/>
          <w:szCs w:val="32"/>
        </w:rPr>
        <w:t>责任党建工作项目清单》</w:t>
      </w:r>
      <w:r>
        <w:rPr>
          <w:rFonts w:hint="eastAsia" w:ascii="Times New Roman" w:hAnsi="Times New Roman" w:eastAsia="仿宋_GB2312" w:cs="Times New Roman"/>
          <w:kern w:val="0"/>
          <w:sz w:val="32"/>
          <w:szCs w:val="32"/>
        </w:rPr>
        <w:t>，重点督促党内组织生</w:t>
      </w:r>
      <w:bookmarkEnd w:id="8"/>
      <w:r>
        <w:rPr>
          <w:rFonts w:hint="eastAsia" w:ascii="Times New Roman" w:hAnsi="Times New Roman" w:eastAsia="仿宋_GB2312" w:cs="Times New Roman"/>
          <w:kern w:val="0"/>
          <w:sz w:val="32"/>
          <w:szCs w:val="32"/>
        </w:rPr>
        <w:t>活、党员发展等工作与其他</w:t>
      </w:r>
      <w:r>
        <w:rPr>
          <w:rFonts w:ascii="Times New Roman" w:hAnsi="Times New Roman" w:eastAsia="仿宋_GB2312" w:cs="Times New Roman"/>
          <w:kern w:val="0"/>
          <w:sz w:val="32"/>
          <w:szCs w:val="32"/>
        </w:rPr>
        <w:t>各项工作</w:t>
      </w:r>
      <w:r>
        <w:rPr>
          <w:rFonts w:hint="eastAsia" w:ascii="Times New Roman" w:hAnsi="Times New Roman" w:eastAsia="仿宋_GB2312" w:cs="Times New Roman"/>
          <w:kern w:val="0"/>
          <w:sz w:val="32"/>
          <w:szCs w:val="32"/>
        </w:rPr>
        <w:t>“四同”实施情况。持续开展“学党史、正教风、优学风、肃作风、争先锋”专项活动，</w:t>
      </w:r>
      <w:r>
        <w:rPr>
          <w:rFonts w:ascii="Times New Roman" w:hAnsi="Times New Roman" w:eastAsia="仿宋_GB2312" w:cs="Times New Roman"/>
          <w:kern w:val="0"/>
          <w:sz w:val="32"/>
          <w:szCs w:val="32"/>
        </w:rPr>
        <w:t>定期发布“</w:t>
      </w:r>
      <w:r>
        <w:rPr>
          <w:rFonts w:hint="eastAsia" w:ascii="Times New Roman" w:hAnsi="Times New Roman" w:eastAsia="仿宋_GB2312" w:cs="Times New Roman"/>
          <w:kern w:val="0"/>
          <w:sz w:val="32"/>
          <w:szCs w:val="32"/>
        </w:rPr>
        <w:t>三个</w:t>
      </w:r>
      <w:r>
        <w:rPr>
          <w:rFonts w:ascii="Times New Roman" w:hAnsi="Times New Roman" w:eastAsia="仿宋_GB2312" w:cs="Times New Roman"/>
          <w:kern w:val="0"/>
          <w:sz w:val="32"/>
          <w:szCs w:val="32"/>
        </w:rPr>
        <w:t>提醒”</w:t>
      </w:r>
      <w:r>
        <w:rPr>
          <w:rFonts w:hint="eastAsia" w:ascii="Times New Roman" w:hAnsi="Times New Roman" w:eastAsia="仿宋_GB2312" w:cs="Times New Roman"/>
          <w:kern w:val="0"/>
          <w:sz w:val="32"/>
          <w:szCs w:val="32"/>
        </w:rPr>
        <w:t>（政治提醒、师德师风提醒、廉洁提醒）</w:t>
      </w:r>
      <w:r>
        <w:rPr>
          <w:rFonts w:ascii="Times New Roman" w:hAnsi="Times New Roman" w:eastAsia="仿宋_GB2312" w:cs="Times New Roman"/>
          <w:kern w:val="0"/>
          <w:sz w:val="32"/>
          <w:szCs w:val="32"/>
        </w:rPr>
        <w:t>。完善党员领导干部联系基层群众和党外人士制度。加强</w:t>
      </w:r>
      <w:r>
        <w:rPr>
          <w:rFonts w:hint="eastAsia" w:ascii="Times New Roman" w:hAnsi="Times New Roman" w:eastAsia="仿宋_GB2312" w:cs="Times New Roman"/>
          <w:kern w:val="0"/>
          <w:sz w:val="32"/>
          <w:szCs w:val="32"/>
        </w:rPr>
        <w:t>党</w:t>
      </w:r>
      <w:r>
        <w:rPr>
          <w:rFonts w:ascii="Times New Roman" w:hAnsi="Times New Roman" w:eastAsia="仿宋_GB2312" w:cs="Times New Roman"/>
          <w:kern w:val="0"/>
          <w:sz w:val="32"/>
          <w:szCs w:val="32"/>
        </w:rPr>
        <w:t>对工会、共青团和学生团体的领导与指导。</w:t>
      </w:r>
      <w:r>
        <w:rPr>
          <w:rFonts w:hint="eastAsia" w:ascii="Times New Roman" w:hAnsi="Times New Roman" w:eastAsia="仿宋_GB2312" w:cs="Times New Roman"/>
          <w:kern w:val="0"/>
          <w:sz w:val="32"/>
          <w:szCs w:val="32"/>
        </w:rPr>
        <w:t>深化清廉校园建设，</w:t>
      </w:r>
      <w:r>
        <w:rPr>
          <w:rFonts w:ascii="Times New Roman" w:hAnsi="Times New Roman" w:eastAsia="仿宋_GB2312" w:cs="Times New Roman"/>
          <w:kern w:val="0"/>
          <w:sz w:val="32"/>
          <w:szCs w:val="32"/>
        </w:rPr>
        <w:t>强化监督执纪问责</w:t>
      </w:r>
      <w:r>
        <w:rPr>
          <w:rFonts w:hint="eastAsia" w:ascii="Times New Roman" w:hAnsi="Times New Roman" w:eastAsia="仿宋_GB2312" w:cs="Times New Roman"/>
          <w:kern w:val="0"/>
          <w:sz w:val="32"/>
          <w:szCs w:val="32"/>
        </w:rPr>
        <w:t>。指导支持学校乡村振兴工作组做好相关工作。</w:t>
      </w:r>
    </w:p>
    <w:p w14:paraId="59B4DAD7">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3.加强思想政治工作</w:t>
      </w:r>
    </w:p>
    <w:p w14:paraId="7B375489">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bookmarkStart w:id="1" w:name="_Hlk84926356"/>
      <w:r>
        <w:rPr>
          <w:rFonts w:hint="eastAsia" w:ascii="Times New Roman" w:hAnsi="Times New Roman" w:eastAsia="仿宋_GB2312" w:cs="Times New Roman"/>
          <w:kern w:val="0"/>
          <w:sz w:val="32"/>
          <w:szCs w:val="32"/>
        </w:rPr>
        <w:t>坚持用习近平新时代中国特色社会主义思想铸魂育人，推进党的创新理论全面融入学校思</w:t>
      </w:r>
      <w:r>
        <w:rPr>
          <w:rFonts w:hint="eastAsia" w:ascii="Times New Roman" w:hAnsi="Times New Roman" w:eastAsia="仿宋_GB2312" w:cs="Times New Roman"/>
          <w:kern w:val="0"/>
          <w:sz w:val="32"/>
          <w:szCs w:val="32"/>
          <w:highlight w:val="none"/>
        </w:rPr>
        <w:t>想政治工作。以获批教育部高校</w:t>
      </w:r>
      <w:bookmarkStart w:id="2" w:name="_Hlk95658211"/>
      <w:r>
        <w:rPr>
          <w:rFonts w:ascii="Times New Roman" w:hAnsi="Times New Roman" w:eastAsia="仿宋_GB2312" w:cs="Times New Roman"/>
          <w:kern w:val="0"/>
          <w:sz w:val="32"/>
          <w:szCs w:val="32"/>
          <w:highlight w:val="none"/>
        </w:rPr>
        <w:t>思想政治</w:t>
      </w:r>
      <w:r>
        <w:rPr>
          <w:rFonts w:hint="eastAsia" w:ascii="Times New Roman" w:hAnsi="Times New Roman" w:eastAsia="仿宋_GB2312" w:cs="Times New Roman"/>
          <w:kern w:val="0"/>
          <w:sz w:val="32"/>
          <w:szCs w:val="32"/>
          <w:highlight w:val="none"/>
        </w:rPr>
        <w:t>工作创新发展</w:t>
      </w:r>
      <w:bookmarkEnd w:id="2"/>
      <w:r>
        <w:rPr>
          <w:rFonts w:ascii="Times New Roman" w:hAnsi="Times New Roman" w:eastAsia="仿宋_GB2312" w:cs="Times New Roman"/>
          <w:kern w:val="0"/>
          <w:sz w:val="32"/>
          <w:szCs w:val="32"/>
          <w:highlight w:val="none"/>
        </w:rPr>
        <w:t>中心</w:t>
      </w:r>
      <w:r>
        <w:rPr>
          <w:rFonts w:hint="eastAsia" w:ascii="Times New Roman" w:hAnsi="Times New Roman" w:eastAsia="仿宋_GB2312" w:cs="Times New Roman"/>
          <w:kern w:val="0"/>
          <w:sz w:val="32"/>
          <w:szCs w:val="32"/>
          <w:highlight w:val="none"/>
          <w:lang w:eastAsia="zh-CN"/>
        </w:rPr>
        <w:t>建设单位</w:t>
      </w:r>
      <w:r>
        <w:rPr>
          <w:rFonts w:hint="eastAsia" w:ascii="Times New Roman" w:hAnsi="Times New Roman" w:eastAsia="仿宋_GB2312" w:cs="Times New Roman"/>
          <w:kern w:val="0"/>
          <w:sz w:val="32"/>
          <w:szCs w:val="32"/>
          <w:highlight w:val="none"/>
        </w:rPr>
        <w:t>为契机，构建有效的工作体制，加强日常建设和管理，力争把中心打造成为全国民办高校</w:t>
      </w:r>
      <w:r>
        <w:rPr>
          <w:rFonts w:ascii="Times New Roman" w:hAnsi="Times New Roman" w:eastAsia="仿宋_GB2312" w:cs="Times New Roman"/>
          <w:kern w:val="0"/>
          <w:sz w:val="32"/>
          <w:szCs w:val="32"/>
          <w:highlight w:val="none"/>
        </w:rPr>
        <w:t>思想政治</w:t>
      </w:r>
      <w:r>
        <w:rPr>
          <w:rFonts w:hint="eastAsia" w:ascii="Times New Roman" w:hAnsi="Times New Roman" w:eastAsia="仿宋_GB2312" w:cs="Times New Roman"/>
          <w:kern w:val="0"/>
          <w:sz w:val="32"/>
          <w:szCs w:val="32"/>
          <w:highlight w:val="none"/>
        </w:rPr>
        <w:t>工作创新发展新高地</w:t>
      </w:r>
      <w:r>
        <w:rPr>
          <w:rFonts w:ascii="Times New Roman" w:hAnsi="Times New Roman" w:eastAsia="仿宋_GB2312" w:cs="Times New Roman"/>
          <w:b w:val="0"/>
          <w:bCs w:val="0"/>
          <w:kern w:val="0"/>
          <w:sz w:val="32"/>
          <w:szCs w:val="32"/>
          <w:highlight w:val="none"/>
        </w:rPr>
        <w:t>。</w:t>
      </w:r>
      <w:r>
        <w:rPr>
          <w:rFonts w:hint="eastAsia" w:ascii="Times New Roman" w:hAnsi="Times New Roman" w:eastAsia="仿宋_GB2312" w:cs="Times New Roman"/>
          <w:kern w:val="0"/>
          <w:sz w:val="32"/>
          <w:szCs w:val="32"/>
          <w:highlight w:val="none"/>
        </w:rPr>
        <w:t>组</w:t>
      </w:r>
      <w:r>
        <w:rPr>
          <w:rFonts w:hint="eastAsia" w:ascii="Times New Roman" w:hAnsi="Times New Roman" w:eastAsia="仿宋_GB2312" w:cs="Times New Roman"/>
          <w:kern w:val="0"/>
          <w:sz w:val="32"/>
          <w:szCs w:val="32"/>
        </w:rPr>
        <w:t>织申报建设湖北省重点马克思主义学院或湖北省示范思想政治理论课教学基地，加大思政工作</w:t>
      </w:r>
      <w:r>
        <w:rPr>
          <w:rFonts w:ascii="Times New Roman" w:hAnsi="Times New Roman" w:eastAsia="仿宋_GB2312" w:cs="Times New Roman"/>
          <w:kern w:val="0"/>
          <w:sz w:val="32"/>
          <w:szCs w:val="32"/>
        </w:rPr>
        <w:t>专项</w:t>
      </w:r>
      <w:r>
        <w:rPr>
          <w:rFonts w:hint="eastAsia" w:ascii="Times New Roman" w:hAnsi="Times New Roman" w:eastAsia="仿宋_GB2312" w:cs="Times New Roman"/>
          <w:kern w:val="0"/>
          <w:sz w:val="32"/>
          <w:szCs w:val="32"/>
        </w:rPr>
        <w:t>建设</w:t>
      </w:r>
      <w:r>
        <w:rPr>
          <w:rFonts w:ascii="Times New Roman" w:hAnsi="Times New Roman" w:eastAsia="仿宋_GB2312" w:cs="Times New Roman"/>
          <w:kern w:val="0"/>
          <w:sz w:val="32"/>
          <w:szCs w:val="32"/>
        </w:rPr>
        <w:t>经费</w:t>
      </w:r>
      <w:r>
        <w:rPr>
          <w:rFonts w:hint="eastAsia" w:ascii="Times New Roman" w:hAnsi="Times New Roman" w:eastAsia="仿宋_GB2312" w:cs="Times New Roman"/>
          <w:kern w:val="0"/>
          <w:sz w:val="32"/>
          <w:szCs w:val="32"/>
        </w:rPr>
        <w:t>投入。深化课程思政，发挥</w:t>
      </w:r>
      <w:r>
        <w:rPr>
          <w:rFonts w:ascii="Times New Roman" w:hAnsi="Times New Roman" w:eastAsia="仿宋_GB2312" w:cs="Times New Roman"/>
          <w:kern w:val="0"/>
          <w:sz w:val="32"/>
          <w:szCs w:val="32"/>
        </w:rPr>
        <w:t>课程思政</w:t>
      </w:r>
      <w:r>
        <w:rPr>
          <w:rFonts w:hint="eastAsia" w:ascii="Times New Roman" w:hAnsi="Times New Roman" w:eastAsia="仿宋_GB2312" w:cs="Times New Roman"/>
          <w:kern w:val="0"/>
          <w:sz w:val="32"/>
          <w:szCs w:val="32"/>
          <w:lang w:eastAsia="zh-CN"/>
        </w:rPr>
        <w:t>教学</w:t>
      </w:r>
      <w:r>
        <w:rPr>
          <w:rFonts w:ascii="Times New Roman" w:hAnsi="Times New Roman" w:eastAsia="仿宋_GB2312" w:cs="Times New Roman"/>
          <w:kern w:val="0"/>
          <w:sz w:val="32"/>
          <w:szCs w:val="32"/>
        </w:rPr>
        <w:t>研究中心</w:t>
      </w:r>
      <w:r>
        <w:rPr>
          <w:rFonts w:hint="eastAsia" w:ascii="Times New Roman" w:hAnsi="Times New Roman" w:eastAsia="仿宋_GB2312" w:cs="Times New Roman"/>
          <w:kern w:val="0"/>
          <w:sz w:val="32"/>
          <w:szCs w:val="32"/>
        </w:rPr>
        <w:t>作用，</w:t>
      </w:r>
      <w:r>
        <w:rPr>
          <w:rFonts w:ascii="Times New Roman" w:hAnsi="Times New Roman" w:eastAsia="仿宋_GB2312" w:cs="Times New Roman"/>
          <w:kern w:val="0"/>
          <w:sz w:val="32"/>
          <w:szCs w:val="32"/>
        </w:rPr>
        <w:t>评选课程思政示范课</w:t>
      </w:r>
      <w:r>
        <w:rPr>
          <w:rFonts w:hint="eastAsia" w:ascii="Times New Roman" w:hAnsi="Times New Roman" w:eastAsia="仿宋_GB2312" w:cs="Times New Roman"/>
          <w:kern w:val="0"/>
          <w:sz w:val="32"/>
          <w:szCs w:val="32"/>
        </w:rPr>
        <w:t>和教学名师</w:t>
      </w:r>
      <w:r>
        <w:rPr>
          <w:rFonts w:ascii="Times New Roman" w:hAnsi="Times New Roman" w:eastAsia="仿宋_GB2312" w:cs="Times New Roman"/>
          <w:kern w:val="0"/>
          <w:sz w:val="32"/>
          <w:szCs w:val="32"/>
        </w:rPr>
        <w:t>、教学团队</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编制</w:t>
      </w:r>
      <w:r>
        <w:rPr>
          <w:rFonts w:hint="eastAsia" w:ascii="Times New Roman" w:hAnsi="Times New Roman" w:eastAsia="仿宋_GB2312" w:cs="Times New Roman"/>
          <w:kern w:val="0"/>
          <w:sz w:val="32"/>
          <w:szCs w:val="32"/>
        </w:rPr>
        <w:t>《本科</w:t>
      </w:r>
      <w:r>
        <w:rPr>
          <w:rFonts w:ascii="Times New Roman" w:hAnsi="Times New Roman" w:eastAsia="仿宋_GB2312" w:cs="Times New Roman"/>
          <w:kern w:val="0"/>
          <w:sz w:val="32"/>
          <w:szCs w:val="32"/>
        </w:rPr>
        <w:t>专业主干课程思政元素</w:t>
      </w:r>
      <w:r>
        <w:rPr>
          <w:rFonts w:hint="eastAsia" w:ascii="Times New Roman" w:hAnsi="Times New Roman" w:eastAsia="仿宋_GB2312" w:cs="Times New Roman"/>
          <w:kern w:val="0"/>
          <w:sz w:val="32"/>
          <w:szCs w:val="32"/>
        </w:rPr>
        <w:t>清单》和</w:t>
      </w:r>
      <w:r>
        <w:rPr>
          <w:rFonts w:ascii="Times New Roman" w:hAnsi="Times New Roman" w:eastAsia="仿宋_GB2312" w:cs="Times New Roman"/>
          <w:kern w:val="0"/>
          <w:sz w:val="32"/>
          <w:szCs w:val="32"/>
        </w:rPr>
        <w:t>课程思政示范课</w:t>
      </w:r>
      <w:r>
        <w:rPr>
          <w:rFonts w:hint="eastAsia" w:ascii="Times New Roman" w:hAnsi="Times New Roman" w:eastAsia="仿宋_GB2312" w:cs="Times New Roman"/>
          <w:kern w:val="0"/>
          <w:sz w:val="32"/>
          <w:szCs w:val="32"/>
        </w:rPr>
        <w:t>典型案例</w:t>
      </w:r>
      <w:r>
        <w:rPr>
          <w:rFonts w:ascii="Times New Roman" w:hAnsi="Times New Roman" w:eastAsia="仿宋_GB2312" w:cs="Times New Roman"/>
          <w:kern w:val="0"/>
          <w:sz w:val="32"/>
          <w:szCs w:val="32"/>
        </w:rPr>
        <w:t>集</w:t>
      </w:r>
      <w:r>
        <w:rPr>
          <w:rFonts w:hint="eastAsia" w:ascii="Times New Roman" w:hAnsi="Times New Roman" w:eastAsia="仿宋_GB2312" w:cs="Times New Roman"/>
          <w:kern w:val="0"/>
          <w:sz w:val="32"/>
          <w:szCs w:val="32"/>
        </w:rPr>
        <w:t>。加强宣传思想工作，弘扬伟大建党精神，实施新媒体应用管理与创新行动计划，管理好各类宣传阵地，妥善处置突发网络舆情事件，牢牢掌握意识形态工作领导权、管理权、话语权。</w:t>
      </w:r>
      <w:bookmarkEnd w:id="1"/>
      <w:r>
        <w:rPr>
          <w:rFonts w:hint="eastAsia" w:ascii="Times New Roman" w:hAnsi="Times New Roman" w:eastAsia="仿宋_GB2312" w:cs="Times New Roman"/>
          <w:kern w:val="0"/>
          <w:sz w:val="32"/>
          <w:szCs w:val="32"/>
        </w:rPr>
        <w:t>讲好东湖故事，注重挖掘宣传师生身边的先进典型，注重解决师生关切的实际问题。</w:t>
      </w:r>
    </w:p>
    <w:p w14:paraId="07F3E36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4.丰富校园文化活动</w:t>
      </w:r>
    </w:p>
    <w:p w14:paraId="20526611">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持续开展“党旗领航，感恩追梦”主题活动，擦亮校园文化“四节”和“一院一品”特色文化活动品牌。凝练以感恩文化等为内核的特色校园文化。探索第二课堂成绩单制度，营造浓厚的校园科技文化氛围。继续开展以“亮身份、树形象，亮工作、增效率，亮服务、创业绩”为主题的“七大先锋岗”评选活动，开展“青春使命”“技能成才强国有我”等主题教育活动。加强“美丽校园”建设，持续开展“全国文明校园”创建活动。健全南校区团学组织，组织好</w:t>
      </w:r>
      <w:r>
        <w:rPr>
          <w:rFonts w:hint="eastAsia" w:ascii="Times New Roman" w:hAnsi="Times New Roman" w:eastAsia="仿宋_GB2312" w:cs="Times New Roman"/>
          <w:kern w:val="0"/>
          <w:sz w:val="32"/>
          <w:szCs w:val="32"/>
          <w:lang w:eastAsia="zh-CN"/>
        </w:rPr>
        <w:t>南</w:t>
      </w:r>
      <w:r>
        <w:rPr>
          <w:rFonts w:hint="eastAsia" w:ascii="Times New Roman" w:hAnsi="Times New Roman" w:eastAsia="仿宋_GB2312" w:cs="Times New Roman"/>
          <w:kern w:val="0"/>
          <w:sz w:val="32"/>
          <w:szCs w:val="32"/>
        </w:rPr>
        <w:t>校区校园文化活动和文化建设。</w:t>
      </w:r>
    </w:p>
    <w:p w14:paraId="1221A224">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二、构建完善制度体系，推动治理能力和治理体系建设</w:t>
      </w:r>
    </w:p>
    <w:p w14:paraId="322E0A16">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5.深入推进新时代教育评价改革</w:t>
      </w:r>
    </w:p>
    <w:p w14:paraId="16D9E31E">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中央《深化新时代教育评价改革总体方案》为指南，深化学校、教师、学生评价改革，加大学校违反“十不得一禁止”违规事项的清理整改力度，落实教育评价改革工作清单和负面清单。充分发挥学术委员会作用，改革考核办法，实施分类评价，健全综合评价，探索多元评价，推行代表作评价，完善同行评价。健全目标责任制考核制度，明晰各类考核指标内涵。加大查处惩戒师德失范、科研诚信违规等行为的力度。</w:t>
      </w:r>
    </w:p>
    <w:p w14:paraId="64F9EB42">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6.加强制度体系化建设</w:t>
      </w:r>
    </w:p>
    <w:p w14:paraId="7B1D074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坚持依法治校，规范办学。配合教育主管部门对民办教育的分类管理改革，做好登记、年检等工作。以</w:t>
      </w:r>
      <w:r>
        <w:rPr>
          <w:rFonts w:hint="eastAsia" w:ascii="Times New Roman" w:hAnsi="Times New Roman" w:eastAsia="仿宋_GB2312" w:cs="Times New Roman"/>
          <w:kern w:val="0"/>
          <w:sz w:val="32"/>
          <w:szCs w:val="32"/>
          <w:lang w:eastAsia="zh-CN"/>
        </w:rPr>
        <w:t>学校</w:t>
      </w:r>
      <w:r>
        <w:rPr>
          <w:rFonts w:hint="eastAsia" w:ascii="Times New Roman" w:hAnsi="Times New Roman" w:eastAsia="仿宋_GB2312" w:cs="Times New Roman"/>
          <w:kern w:val="0"/>
          <w:sz w:val="32"/>
          <w:szCs w:val="32"/>
        </w:rPr>
        <w:t>《章程》修订为重点，按照教育主管部门要求积极推进</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章程</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的修订和备案核准工作。结合南校区办学新实际，及时制（修）订有关考核评价、职称评聘和校区管理制度，与时俱进构建系统完备、科学规范、运行有效的制度体系。加强制度宣传学习和执行情况检查。深入实施学校“十四五”发展规划，建立规划任务项目工作台账，加强年度实施的监测评估。</w:t>
      </w:r>
    </w:p>
    <w:p w14:paraId="693E2E63">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对标审核评估要求，</w:t>
      </w:r>
      <w:r>
        <w:rPr>
          <w:rFonts w:ascii="Times New Roman" w:hAnsi="Times New Roman" w:eastAsia="黑体" w:cs="Times New Roman"/>
          <w:kern w:val="0"/>
          <w:sz w:val="32"/>
          <w:szCs w:val="32"/>
        </w:rPr>
        <w:t>提高</w:t>
      </w:r>
      <w:r>
        <w:rPr>
          <w:rFonts w:hint="eastAsia" w:ascii="Times New Roman" w:hAnsi="Times New Roman" w:eastAsia="黑体" w:cs="Times New Roman"/>
          <w:kern w:val="0"/>
          <w:sz w:val="32"/>
          <w:szCs w:val="32"/>
        </w:rPr>
        <w:t>教育</w:t>
      </w:r>
      <w:r>
        <w:rPr>
          <w:rFonts w:ascii="Times New Roman" w:hAnsi="Times New Roman" w:eastAsia="黑体" w:cs="Times New Roman"/>
          <w:kern w:val="0"/>
          <w:sz w:val="32"/>
          <w:szCs w:val="32"/>
        </w:rPr>
        <w:t>教学质量</w:t>
      </w:r>
    </w:p>
    <w:p w14:paraId="6670DD02">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7.启动审核评估工程</w:t>
      </w:r>
    </w:p>
    <w:p w14:paraId="6C450B7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评估理念引领改革、以评估举措落实改革、以评估标准检验改革。对照教育部《审核评估实施方案》要求和指标体系，制定工作方案，分工负责，分年落实，分类整改，巩固成果，健全机制，扫除盲点，提升水平；组织自查自评，充分挖掘和分析常态监测数据，摸清家底，建立问题清单，对标整改建设。</w:t>
      </w:r>
      <w:r>
        <w:rPr>
          <w:rFonts w:ascii="Times New Roman" w:hAnsi="Times New Roman" w:eastAsia="仿宋_GB2312" w:cs="Times New Roman"/>
          <w:kern w:val="0"/>
          <w:sz w:val="32"/>
          <w:szCs w:val="32"/>
        </w:rPr>
        <w:t xml:space="preserve"> </w:t>
      </w:r>
    </w:p>
    <w:p w14:paraId="0834447E">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楷体_GB2312" w:eastAsia="楷体_GB2312"/>
          <w:b/>
          <w:bCs/>
          <w:sz w:val="32"/>
          <w:szCs w:val="32"/>
        </w:rPr>
      </w:pPr>
      <w:r>
        <w:rPr>
          <w:rFonts w:ascii="楷体_GB2312" w:eastAsia="楷体_GB2312"/>
          <w:b/>
          <w:bCs/>
          <w:sz w:val="32"/>
          <w:szCs w:val="32"/>
        </w:rPr>
        <w:t>8</w:t>
      </w:r>
      <w:r>
        <w:rPr>
          <w:rFonts w:hint="eastAsia" w:ascii="楷体_GB2312" w:eastAsia="楷体_GB2312"/>
          <w:b/>
          <w:bCs/>
          <w:sz w:val="32"/>
          <w:szCs w:val="32"/>
        </w:rPr>
        <w:t>.推进产教融合协同育人</w:t>
      </w:r>
    </w:p>
    <w:p w14:paraId="20624F3B">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研究制定学校“十四五”产教融合校企合作工作意见，促进应用型建设融入地方，长入经济，汇入产业，渗入师生，进入议程。检查评估现有合作项目，发掘合作单位实习实训资源，推进合作项目走深走实，筹备创建“现代产业学院”，开展特色化示范性学院建设。聚焦湖北“5</w:t>
      </w:r>
      <w:r>
        <w:rPr>
          <w:rFonts w:ascii="Times New Roman" w:hAnsi="Times New Roman" w:eastAsia="仿宋_GB2312" w:cs="Times New Roman"/>
          <w:kern w:val="0"/>
          <w:sz w:val="32"/>
          <w:szCs w:val="32"/>
        </w:rPr>
        <w:t>1020</w:t>
      </w:r>
      <w:r>
        <w:rPr>
          <w:rFonts w:hint="eastAsia" w:ascii="Times New Roman" w:hAnsi="Times New Roman" w:eastAsia="仿宋_GB2312" w:cs="Times New Roman"/>
          <w:kern w:val="0"/>
          <w:sz w:val="32"/>
          <w:szCs w:val="32"/>
        </w:rPr>
        <w:t>”现代产业集群，遴选1</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个重点合作县市或产业，实行精准对接。探索符合学校实际、体现学科专业特色的产教融合新模式，建设1</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2个校企实质性合作</w:t>
      </w:r>
      <w:r>
        <w:rPr>
          <w:rFonts w:hint="eastAsia" w:ascii="Times New Roman" w:hAnsi="Times New Roman" w:eastAsia="仿宋_GB2312" w:cs="Times New Roman"/>
          <w:kern w:val="0"/>
          <w:sz w:val="32"/>
          <w:szCs w:val="32"/>
          <w:highlight w:val="none"/>
        </w:rPr>
        <w:t>新平台。</w:t>
      </w:r>
      <w:r>
        <w:rPr>
          <w:rFonts w:ascii="Times New Roman" w:hAnsi="Times New Roman" w:eastAsia="仿宋_GB2312" w:cs="Times New Roman"/>
          <w:kern w:val="0"/>
          <w:sz w:val="32"/>
          <w:szCs w:val="32"/>
          <w:highlight w:val="none"/>
        </w:rPr>
        <w:t xml:space="preserve"> </w:t>
      </w:r>
    </w:p>
    <w:p w14:paraId="24CE7BFD">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楷体_GB2312" w:eastAsia="楷体_GB2312"/>
          <w:b/>
          <w:bCs/>
          <w:sz w:val="32"/>
          <w:szCs w:val="32"/>
        </w:rPr>
      </w:pPr>
      <w:r>
        <w:rPr>
          <w:rFonts w:hint="eastAsia" w:ascii="楷体_GB2312" w:eastAsia="楷体_GB2312"/>
          <w:b/>
          <w:bCs/>
          <w:sz w:val="32"/>
          <w:szCs w:val="32"/>
        </w:rPr>
        <w:t>9</w:t>
      </w:r>
      <w:r>
        <w:rPr>
          <w:rFonts w:ascii="楷体_GB2312" w:eastAsia="楷体_GB2312"/>
          <w:b/>
          <w:bCs/>
          <w:sz w:val="32"/>
          <w:szCs w:val="32"/>
        </w:rPr>
        <w:t>.</w:t>
      </w:r>
      <w:r>
        <w:rPr>
          <w:rFonts w:hint="eastAsia" w:ascii="楷体_GB2312" w:eastAsia="楷体_GB2312"/>
          <w:b/>
          <w:bCs/>
          <w:sz w:val="32"/>
          <w:szCs w:val="32"/>
        </w:rPr>
        <w:t>推进本科教育提质创新发展</w:t>
      </w:r>
    </w:p>
    <w:p w14:paraId="51D98547">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rPr>
        <w:t>筹备召开学校教学工作会议，科学谋划当前和今后一段时期教学工作发展蓝图。制</w:t>
      </w:r>
      <w:r>
        <w:rPr>
          <w:rFonts w:hint="eastAsia" w:ascii="Times New Roman" w:hAnsi="Times New Roman" w:eastAsia="仿宋_GB2312" w:cs="Times New Roman"/>
          <w:kern w:val="0"/>
          <w:sz w:val="32"/>
          <w:szCs w:val="32"/>
        </w:rPr>
        <w:t>订2022年新版《人才培养方案》。完善学科专业</w:t>
      </w:r>
      <w:r>
        <w:rPr>
          <w:rFonts w:ascii="Times New Roman" w:hAnsi="Times New Roman" w:eastAsia="仿宋_GB2312" w:cs="Times New Roman"/>
          <w:kern w:val="0"/>
          <w:sz w:val="32"/>
          <w:szCs w:val="32"/>
        </w:rPr>
        <w:t>动态调整机制，</w:t>
      </w:r>
      <w:r>
        <w:rPr>
          <w:rFonts w:hint="eastAsia" w:ascii="Times New Roman" w:hAnsi="Times New Roman" w:eastAsia="仿宋_GB2312" w:cs="Times New Roman"/>
          <w:kern w:val="0"/>
          <w:sz w:val="32"/>
          <w:szCs w:val="32"/>
        </w:rPr>
        <w:t>优化学科</w:t>
      </w:r>
      <w:r>
        <w:rPr>
          <w:rFonts w:ascii="Times New Roman" w:hAnsi="Times New Roman" w:eastAsia="仿宋_GB2312" w:cs="Times New Roman"/>
          <w:kern w:val="0"/>
          <w:sz w:val="32"/>
          <w:szCs w:val="32"/>
        </w:rPr>
        <w:t>专业</w:t>
      </w:r>
      <w:r>
        <w:rPr>
          <w:rFonts w:hint="eastAsia" w:ascii="Times New Roman" w:hAnsi="Times New Roman" w:eastAsia="仿宋_GB2312" w:cs="Times New Roman"/>
          <w:kern w:val="0"/>
          <w:sz w:val="32"/>
          <w:szCs w:val="32"/>
        </w:rPr>
        <w:t>布局，重点新增新工科、教育学、大健康类专业，加大改造传统专业的力度，关停生源不足、就业率低的专业。完成网络空间安全、电子与计算机工程的新增学士学位授予权备案工作。密切跟踪</w:t>
      </w:r>
      <w:bookmarkStart w:id="3" w:name="_Hlk91154083"/>
      <w:r>
        <w:rPr>
          <w:rFonts w:hint="eastAsia" w:ascii="Times New Roman" w:hAnsi="Times New Roman" w:eastAsia="仿宋_GB2312" w:cs="Times New Roman"/>
          <w:kern w:val="0"/>
          <w:sz w:val="32"/>
          <w:szCs w:val="32"/>
        </w:rPr>
        <w:t>国家一流专业</w:t>
      </w:r>
      <w:bookmarkEnd w:id="3"/>
      <w:r>
        <w:rPr>
          <w:rFonts w:hint="eastAsia" w:ascii="Times New Roman" w:hAnsi="Times New Roman" w:eastAsia="仿宋_GB2312" w:cs="Times New Roman"/>
          <w:kern w:val="0"/>
          <w:sz w:val="32"/>
          <w:szCs w:val="32"/>
        </w:rPr>
        <w:t>评审，力争获批3个省级、2个国家级一流专业。加强基层教学组织建设，形成省、校两级基层教学组织分层建设体系，组织对现有省级基层教学组织的中期检查。对标一流课程标准建设课程，进一步加大现有6</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门校级、1</w:t>
      </w: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门省级一流课程建设力度，力争新获批3门省级</w:t>
      </w:r>
      <w:bookmarkStart w:id="4" w:name="_Hlk92279479"/>
      <w:r>
        <w:rPr>
          <w:rFonts w:hint="eastAsia" w:ascii="Times New Roman" w:hAnsi="Times New Roman" w:eastAsia="仿宋_GB2312" w:cs="Times New Roman"/>
          <w:kern w:val="0"/>
          <w:sz w:val="32"/>
          <w:szCs w:val="32"/>
        </w:rPr>
        <w:t>一流课程</w:t>
      </w:r>
      <w:bookmarkEnd w:id="4"/>
      <w:r>
        <w:rPr>
          <w:rFonts w:hint="eastAsia" w:ascii="Times New Roman" w:hAnsi="Times New Roman" w:eastAsia="仿宋_GB2312" w:cs="Times New Roman"/>
          <w:kern w:val="0"/>
          <w:sz w:val="32"/>
          <w:szCs w:val="32"/>
        </w:rPr>
        <w:t>，积极申报国家一流课程，力争获批2门国家级一流课程。加强线上课程（平台）的引进和利用，重点建设一批线上线下混合课程、社会实践课程和虚拟仿真实验教学课程，做好课程网站等级保护测评。开展国际交流合作，保持实际运行的合作项目数不少于1</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个，参加境外学习交流学生不少于1</w:t>
      </w:r>
      <w:r>
        <w:rPr>
          <w:rFonts w:ascii="Times New Roman" w:hAnsi="Times New Roman" w:eastAsia="仿宋_GB2312" w:cs="Times New Roman"/>
          <w:kern w:val="0"/>
          <w:sz w:val="32"/>
          <w:szCs w:val="32"/>
        </w:rPr>
        <w:t>00</w:t>
      </w:r>
      <w:r>
        <w:rPr>
          <w:rFonts w:hint="eastAsia" w:ascii="Times New Roman" w:hAnsi="Times New Roman" w:eastAsia="仿宋_GB2312" w:cs="Times New Roman"/>
          <w:kern w:val="0"/>
          <w:sz w:val="32"/>
          <w:szCs w:val="32"/>
        </w:rPr>
        <w:t>人次。</w:t>
      </w:r>
      <w:r>
        <w:rPr>
          <w:rFonts w:hint="eastAsia" w:ascii="Times New Roman" w:hAnsi="Times New Roman" w:eastAsia="仿宋_GB2312" w:cs="Times New Roman"/>
          <w:kern w:val="0"/>
          <w:sz w:val="32"/>
          <w:szCs w:val="32"/>
          <w:highlight w:val="none"/>
        </w:rPr>
        <w:t>规范发展学历继续教育，提高继续教育服务能力。</w:t>
      </w:r>
    </w:p>
    <w:p w14:paraId="2F8D4F3D">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10.推</w:t>
      </w:r>
      <w:r>
        <w:rPr>
          <w:rFonts w:ascii="Times New Roman" w:hAnsi="Times New Roman" w:eastAsia="楷体_GB2312" w:cs="Times New Roman"/>
          <w:b/>
          <w:kern w:val="0"/>
          <w:sz w:val="32"/>
          <w:szCs w:val="32"/>
        </w:rPr>
        <w:t>动</w:t>
      </w:r>
      <w:r>
        <w:rPr>
          <w:rFonts w:hint="eastAsia" w:ascii="Times New Roman" w:hAnsi="Times New Roman" w:eastAsia="楷体_GB2312" w:cs="Times New Roman"/>
          <w:b/>
          <w:kern w:val="0"/>
          <w:sz w:val="32"/>
          <w:szCs w:val="32"/>
        </w:rPr>
        <w:t>课堂教学内容、方法改革研究</w:t>
      </w:r>
    </w:p>
    <w:p w14:paraId="2BB73832">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聚焦应用型人才培养，支持各教学单位根据自身实际和学科专业特点开展探索。立项一批教研教改项目，引导教师以所授课程为对象开展教学研究、设计教学和应用型人才培养的改革实践，组织教学设计比赛，加强课堂参与和课堂纪律考核，推进课程考核评价体系专项改革。积极申报第九届省级教学成果奖，争取获批省级及以上奖项数量不低于5项（其中国家级1项）。</w:t>
      </w:r>
    </w:p>
    <w:p w14:paraId="1B7391C8">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11.加强实践环节教学体</w:t>
      </w:r>
      <w:r>
        <w:rPr>
          <w:rFonts w:hint="eastAsia" w:ascii="Times New Roman" w:hAnsi="Times New Roman" w:eastAsia="楷体_GB2312" w:cs="Times New Roman"/>
          <w:b/>
          <w:kern w:val="0"/>
          <w:sz w:val="32"/>
          <w:szCs w:val="32"/>
        </w:rPr>
        <w:t>系和大学生创新创业体系</w:t>
      </w:r>
      <w:r>
        <w:rPr>
          <w:rFonts w:ascii="Times New Roman" w:hAnsi="Times New Roman" w:eastAsia="楷体_GB2312" w:cs="Times New Roman"/>
          <w:b/>
          <w:kern w:val="0"/>
          <w:sz w:val="32"/>
          <w:szCs w:val="32"/>
        </w:rPr>
        <w:t>建设</w:t>
      </w:r>
    </w:p>
    <w:p w14:paraId="06B5090A">
      <w:pPr>
        <w:keepNext w:val="0"/>
        <w:keepLines w:val="0"/>
        <w:pageBreakBefore w:val="0"/>
        <w:kinsoku/>
        <w:wordWrap/>
        <w:overflowPunct/>
        <w:topLinePunct w:val="0"/>
        <w:autoSpaceDE/>
        <w:autoSpaceDN/>
        <w:bidi w:val="0"/>
        <w:spacing w:line="588" w:lineRule="exact"/>
        <w:ind w:firstLine="640" w:firstLineChars="200"/>
        <w:jc w:val="both"/>
        <w:textAlignment w:val="auto"/>
        <w:rPr>
          <w:sz w:val="32"/>
          <w:szCs w:val="32"/>
          <w:highlight w:val="yellow"/>
        </w:rPr>
      </w:pPr>
      <w:r>
        <w:rPr>
          <w:rFonts w:hint="eastAsia" w:ascii="Times New Roman" w:hAnsi="Times New Roman" w:eastAsia="仿宋_GB2312" w:cs="Times New Roman"/>
          <w:kern w:val="0"/>
          <w:sz w:val="32"/>
          <w:szCs w:val="32"/>
        </w:rPr>
        <w:t>以满足教育教学为前提，以信息化建设为重点，以提高资源利用率为落脚点，完善实践教学体系，探索线上实习。有效发挥学校职业资格鉴定中心作用，实施“1+X”职业技能等级证书计划，推进“岗课赛证”综合育人。拓展实践教学资源，力争新增2个省级实践教学平台，提高校企共同指导本科生毕业论文（设计）的比例。组织实践教学环节联合专项检查。</w:t>
      </w:r>
    </w:p>
    <w:p w14:paraId="5B9F3607">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优化创业基地服务，培育国家级大学生创新创业示范高校，发挥创新创业学院推进创新创业教育和实践改革的主导作用。举办多彩多样的校园创业活动，扶持大学生创新工艺社等专业社团发展壮大，指导学生创业项目的申报、评审、立项、资金管理，推介优秀创业项目入驻学校创业孵化基地。完善学科专业竞赛体系，出台大学竞赛赛事目录清单，加大对学生参加学科专业竞赛特别是学校确定的A+级赛事的支持指导力度，打造以“互联网+”“挑战杯”等高水平赛事为龙头的科技文化活动体系，着力扩大参赛项目和参赛学生覆盖面。</w:t>
      </w:r>
    </w:p>
    <w:p w14:paraId="6295BF2B">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12.加强质量保障体系建设</w:t>
      </w:r>
    </w:p>
    <w:p w14:paraId="4C411BC6">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rPr>
        <w:t>贯彻落实中办国办《关于深化新时代教育督导体制机制改革的意见》，完</w:t>
      </w:r>
      <w:r>
        <w:rPr>
          <w:rFonts w:hint="eastAsia" w:ascii="Times New Roman" w:hAnsi="Times New Roman" w:eastAsia="仿宋_GB2312" w:cs="Times New Roman"/>
          <w:kern w:val="0"/>
          <w:sz w:val="32"/>
          <w:szCs w:val="32"/>
        </w:rPr>
        <w:t>善督导体制机制，加强对教师教学行为、教学质量的监测评价和教师教学违规行为检查处理力度，利用信息化手段改进评教评学等监测检查办法，完善教学质量标准和规范。推进相关专业开展工程教育认证试点、学前教育专业开展师范专业认证。建立持续改进长效机制，培育学校质量文化，把“一根本、两突出、三强化、五个度”作为学校办学的基本规范和价值追求。滚动式（四年一轮）推进全校</w:t>
      </w:r>
      <w:r>
        <w:rPr>
          <w:rFonts w:hint="eastAsia" w:ascii="Times New Roman" w:hAnsi="Times New Roman" w:eastAsia="仿宋_GB2312" w:cs="Times New Roman"/>
          <w:kern w:val="0"/>
          <w:sz w:val="32"/>
          <w:szCs w:val="32"/>
          <w:highlight w:val="none"/>
        </w:rPr>
        <w:t>本科专业自查自评工作，试点引入专业机构开展第三方评价。组织开展实践教学环节、毕业论文、各级各类质量工程项目的专项检</w:t>
      </w:r>
      <w:r>
        <w:rPr>
          <w:rFonts w:hint="eastAsia" w:ascii="Times New Roman" w:hAnsi="Times New Roman" w:eastAsia="仿宋_GB2312" w:cs="Times New Roman"/>
          <w:kern w:val="0"/>
          <w:sz w:val="32"/>
          <w:szCs w:val="32"/>
        </w:rPr>
        <w:t>查。</w:t>
      </w:r>
    </w:p>
    <w:p w14:paraId="622D8A68">
      <w:pPr>
        <w:keepNext w:val="0"/>
        <w:keepLines w:val="0"/>
        <w:pageBreakBefore w:val="0"/>
        <w:kinsoku/>
        <w:wordWrap/>
        <w:overflowPunct/>
        <w:topLinePunct w:val="0"/>
        <w:autoSpaceDE/>
        <w:autoSpaceDN/>
        <w:bidi w:val="0"/>
        <w:spacing w:line="588" w:lineRule="exact"/>
        <w:ind w:firstLine="640" w:firstLineChars="200"/>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四、聚焦学生发展，</w:t>
      </w:r>
      <w:r>
        <w:rPr>
          <w:rFonts w:ascii="Times New Roman" w:hAnsi="Times New Roman" w:eastAsia="黑体" w:cs="Times New Roman"/>
          <w:kern w:val="0"/>
          <w:sz w:val="32"/>
          <w:szCs w:val="32"/>
        </w:rPr>
        <w:t>提高</w:t>
      </w:r>
      <w:r>
        <w:rPr>
          <w:rFonts w:hint="eastAsia" w:ascii="Times New Roman" w:hAnsi="Times New Roman" w:eastAsia="黑体" w:cs="Times New Roman"/>
          <w:kern w:val="0"/>
          <w:sz w:val="32"/>
          <w:szCs w:val="32"/>
        </w:rPr>
        <w:t>学生教育管理服务</w:t>
      </w:r>
      <w:r>
        <w:rPr>
          <w:rFonts w:ascii="Times New Roman" w:hAnsi="Times New Roman" w:eastAsia="黑体" w:cs="Times New Roman"/>
          <w:kern w:val="0"/>
          <w:sz w:val="32"/>
          <w:szCs w:val="32"/>
        </w:rPr>
        <w:t>水平</w:t>
      </w:r>
    </w:p>
    <w:p w14:paraId="529E45DE">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13.狠抓学</w:t>
      </w:r>
      <w:r>
        <w:rPr>
          <w:rFonts w:hint="eastAsia" w:ascii="Times New Roman" w:hAnsi="Times New Roman" w:eastAsia="楷体_GB2312" w:cs="Times New Roman"/>
          <w:b/>
          <w:kern w:val="0"/>
          <w:sz w:val="32"/>
          <w:szCs w:val="32"/>
        </w:rPr>
        <w:t>风建设，激发学生学习内驱力</w:t>
      </w:r>
    </w:p>
    <w:p w14:paraId="5268F326">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严格学业标准，改革学生评价，树立科学成才观念</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以考研率、大学英语四级通过率、职业资格证书获得率、重大学科竞赛参赛及获奖率</w:t>
      </w:r>
      <w:r>
        <w:rPr>
          <w:rFonts w:hint="eastAsia" w:ascii="Times New Roman" w:hAnsi="Times New Roman" w:eastAsia="仿宋_GB2312" w:cs="Times New Roman"/>
          <w:b w:val="0"/>
          <w:bCs w:val="0"/>
          <w:kern w:val="0"/>
          <w:sz w:val="32"/>
          <w:szCs w:val="32"/>
        </w:rPr>
        <w:t>“四率”为</w:t>
      </w:r>
      <w:r>
        <w:rPr>
          <w:rFonts w:hint="eastAsia" w:ascii="Times New Roman" w:hAnsi="Times New Roman" w:eastAsia="仿宋_GB2312" w:cs="Times New Roman"/>
          <w:kern w:val="0"/>
          <w:sz w:val="32"/>
          <w:szCs w:val="32"/>
        </w:rPr>
        <w:t>突破口，激发学生学习内驱力，狠抓教育教学质量提升。支持各学院结合专业实际参加学科专业竞赛和课外科技文体竞赛，扩充参赛渠道。</w:t>
      </w:r>
      <w:r>
        <w:rPr>
          <w:rFonts w:ascii="Times New Roman" w:hAnsi="Times New Roman" w:eastAsia="仿宋_GB2312" w:cs="Times New Roman"/>
          <w:kern w:val="0"/>
          <w:sz w:val="32"/>
          <w:szCs w:val="32"/>
        </w:rPr>
        <w:t>加强学习过程管理</w:t>
      </w:r>
      <w:r>
        <w:rPr>
          <w:rFonts w:hint="eastAsia" w:ascii="Times New Roman" w:hAnsi="Times New Roman" w:eastAsia="仿宋_GB2312" w:cs="Times New Roman"/>
          <w:kern w:val="0"/>
          <w:sz w:val="32"/>
          <w:szCs w:val="32"/>
        </w:rPr>
        <w:t>，严格课程考核和学分认定管理、学籍预警和留级制度</w:t>
      </w:r>
      <w:r>
        <w:rPr>
          <w:rFonts w:hint="eastAsia" w:ascii="Times New Roman" w:hAnsi="Times New Roman" w:eastAsia="仿宋_GB2312" w:cs="Times New Roman"/>
          <w:b/>
          <w:kern w:val="0"/>
          <w:sz w:val="32"/>
          <w:szCs w:val="32"/>
        </w:rPr>
        <w:t>。</w:t>
      </w:r>
    </w:p>
    <w:p w14:paraId="26B0E3C7">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14.扎实抓好招生、就业工作</w:t>
      </w:r>
    </w:p>
    <w:p w14:paraId="15D07EE4">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以提高生源质量为核心，以分片包干为</w:t>
      </w:r>
      <w:r>
        <w:rPr>
          <w:rFonts w:hint="eastAsia" w:ascii="Times New Roman" w:hAnsi="Times New Roman" w:eastAsia="仿宋_GB2312" w:cs="Times New Roman"/>
          <w:kern w:val="0"/>
          <w:sz w:val="32"/>
          <w:szCs w:val="32"/>
          <w:lang w:eastAsia="zh-CN"/>
        </w:rPr>
        <w:t>途径</w:t>
      </w:r>
      <w:r>
        <w:rPr>
          <w:rFonts w:hint="eastAsia" w:ascii="Times New Roman" w:hAnsi="Times New Roman" w:eastAsia="仿宋_GB2312" w:cs="Times New Roman"/>
          <w:kern w:val="0"/>
          <w:sz w:val="32"/>
          <w:szCs w:val="32"/>
        </w:rPr>
        <w:t>，完善“三全招生”机制。精心论证专业计划分配投放。分类施策，做好普通本专科、3+2联合培养、专升本等不同类型学生的招生工作。提早谋划招生宣传工作，加大网络宣传力度，扩展优质生源基地，加强招生队伍专业化培训建设。确保录取分数线位居</w:t>
      </w:r>
      <w:r>
        <w:rPr>
          <w:rFonts w:hint="eastAsia" w:ascii="Times New Roman" w:hAnsi="Times New Roman" w:eastAsia="仿宋_GB2312" w:cs="Times New Roman"/>
          <w:kern w:val="0"/>
          <w:sz w:val="32"/>
          <w:szCs w:val="32"/>
          <w:lang w:eastAsia="zh-CN"/>
        </w:rPr>
        <w:t>全省</w:t>
      </w:r>
      <w:r>
        <w:rPr>
          <w:rFonts w:hint="eastAsia" w:ascii="Times New Roman" w:hAnsi="Times New Roman" w:eastAsia="仿宋_GB2312" w:cs="Times New Roman"/>
          <w:kern w:val="0"/>
          <w:sz w:val="32"/>
          <w:szCs w:val="32"/>
        </w:rPr>
        <w:t>同类高校前3名，新生报到率不低于9</w:t>
      </w:r>
      <w:r>
        <w:rPr>
          <w:rFonts w:ascii="Times New Roman" w:hAnsi="Times New Roman" w:eastAsia="仿宋_GB2312" w:cs="Times New Roman"/>
          <w:kern w:val="0"/>
          <w:sz w:val="32"/>
          <w:szCs w:val="32"/>
        </w:rPr>
        <w:t>5.5</w:t>
      </w:r>
      <w:r>
        <w:rPr>
          <w:rFonts w:hint="eastAsia" w:ascii="Times New Roman" w:hAnsi="Times New Roman" w:eastAsia="仿宋_GB2312" w:cs="Times New Roman"/>
          <w:kern w:val="0"/>
          <w:sz w:val="32"/>
          <w:szCs w:val="32"/>
        </w:rPr>
        <w:t>%。</w:t>
      </w:r>
    </w:p>
    <w:p w14:paraId="6B5FE712">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把毕业生就业工作作为重要的政治任务，坚持就业工作“一把手”工程。落实省委省政府就业25条、促进高校毕业生就业创业10条、加强和改进新时代征兵工作20条等政策举措，进一步改进就业指导和服务，拓宽就业渠道，引导更多毕业生参军入伍，做好重点群体就业工作。确保本届</w:t>
      </w:r>
      <w:r>
        <w:rPr>
          <w:rFonts w:ascii="Times New Roman" w:hAnsi="Times New Roman" w:eastAsia="仿宋_GB2312" w:cs="Times New Roman"/>
          <w:kern w:val="0"/>
          <w:sz w:val="32"/>
          <w:szCs w:val="32"/>
        </w:rPr>
        <w:t>毕业生</w:t>
      </w:r>
      <w:r>
        <w:rPr>
          <w:rFonts w:hint="eastAsia" w:ascii="Times New Roman" w:hAnsi="Times New Roman" w:eastAsia="仿宋_GB2312" w:cs="Times New Roman"/>
          <w:kern w:val="0"/>
          <w:sz w:val="32"/>
          <w:szCs w:val="32"/>
        </w:rPr>
        <w:t>就业总体稳定，</w:t>
      </w:r>
      <w:r>
        <w:rPr>
          <w:rFonts w:ascii="Times New Roman" w:hAnsi="Times New Roman" w:eastAsia="仿宋_GB2312" w:cs="Times New Roman"/>
          <w:kern w:val="0"/>
          <w:sz w:val="32"/>
          <w:szCs w:val="32"/>
        </w:rPr>
        <w:t>就业率不低于</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。做好毕业生跟踪调查工作</w:t>
      </w:r>
      <w:r>
        <w:rPr>
          <w:rFonts w:hint="eastAsia" w:ascii="Times New Roman" w:hAnsi="Times New Roman" w:eastAsia="仿宋_GB2312" w:cs="Times New Roman"/>
          <w:kern w:val="0"/>
          <w:sz w:val="32"/>
          <w:szCs w:val="32"/>
        </w:rPr>
        <w:t>，积极配合参与省教育厅对1到10年的毕业生工作态度、专业水平、实践能力的综合评价活动</w:t>
      </w:r>
      <w:r>
        <w:rPr>
          <w:rFonts w:ascii="Times New Roman" w:hAnsi="Times New Roman" w:eastAsia="仿宋_GB2312" w:cs="Times New Roman"/>
          <w:kern w:val="0"/>
          <w:sz w:val="32"/>
          <w:szCs w:val="32"/>
        </w:rPr>
        <w:t>。</w:t>
      </w:r>
    </w:p>
    <w:p w14:paraId="041AB42E">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15.完善“三全育人”工作体系</w:t>
      </w:r>
    </w:p>
    <w:p w14:paraId="51763A6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bookmarkStart w:id="5" w:name="_Hlk91250021"/>
      <w:r>
        <w:rPr>
          <w:rFonts w:hint="eastAsia" w:ascii="Times New Roman" w:hAnsi="Times New Roman" w:eastAsia="仿宋_GB2312" w:cs="Times New Roman"/>
          <w:kern w:val="0"/>
          <w:sz w:val="32"/>
          <w:szCs w:val="32"/>
        </w:rPr>
        <w:t>扎实推进</w:t>
      </w:r>
      <w:r>
        <w:rPr>
          <w:rFonts w:hint="eastAsia" w:ascii="Times New Roman" w:hAnsi="Times New Roman" w:eastAsia="仿宋_GB2312" w:cs="Times New Roman"/>
          <w:kern w:val="0"/>
          <w:sz w:val="32"/>
          <w:szCs w:val="32"/>
          <w:lang w:eastAsia="zh-CN"/>
        </w:rPr>
        <w:t>教育部</w:t>
      </w:r>
      <w:r>
        <w:rPr>
          <w:rFonts w:hint="eastAsia" w:ascii="Times New Roman" w:hAnsi="Times New Roman" w:eastAsia="仿宋_GB2312" w:cs="Times New Roman"/>
          <w:kern w:val="0"/>
          <w:sz w:val="32"/>
          <w:szCs w:val="32"/>
        </w:rPr>
        <w:t>“一站式”学生社区管理模式综合改革</w:t>
      </w:r>
      <w:bookmarkEnd w:id="5"/>
      <w:r>
        <w:rPr>
          <w:rFonts w:hint="eastAsia" w:ascii="Times New Roman" w:hAnsi="Times New Roman" w:eastAsia="仿宋_GB2312" w:cs="Times New Roman"/>
          <w:kern w:val="0"/>
          <w:sz w:val="32"/>
          <w:szCs w:val="32"/>
        </w:rPr>
        <w:t>试点工作，推动“四联三进”工作取得实效。提升学业导师、辅导员服务学生工作质量。实施“五帮五促”育人计划，深入开展大学生暑期“三下乡”和社会调查、生产劳动、社会公益、志愿服务、科技发明、勤工助学等活动，积极推进“青年红色筑梦之旅”活动。加强学生心理健康教育，为申报省级示范中心创造条件。</w:t>
      </w:r>
    </w:p>
    <w:p w14:paraId="641A8620">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w:t>
      </w:r>
      <w:r>
        <w:rPr>
          <w:rFonts w:ascii="Times New Roman" w:hAnsi="Times New Roman" w:eastAsia="黑体" w:cs="Times New Roman"/>
          <w:kern w:val="0"/>
          <w:sz w:val="32"/>
          <w:szCs w:val="32"/>
        </w:rPr>
        <w:t>、加强</w:t>
      </w:r>
      <w:r>
        <w:rPr>
          <w:rFonts w:hint="eastAsia" w:ascii="Times New Roman" w:hAnsi="Times New Roman" w:eastAsia="黑体" w:cs="Times New Roman"/>
          <w:kern w:val="0"/>
          <w:sz w:val="32"/>
          <w:szCs w:val="32"/>
        </w:rPr>
        <w:t>学科建设和科研工作</w:t>
      </w:r>
      <w:r>
        <w:rPr>
          <w:rFonts w:ascii="Times New Roman" w:hAnsi="Times New Roman" w:eastAsia="黑体" w:cs="Times New Roman"/>
          <w:kern w:val="0"/>
          <w:sz w:val="32"/>
          <w:szCs w:val="32"/>
        </w:rPr>
        <w:t>，提升</w:t>
      </w:r>
      <w:r>
        <w:rPr>
          <w:rFonts w:hint="eastAsia" w:ascii="Times New Roman" w:hAnsi="Times New Roman" w:eastAsia="黑体" w:cs="Times New Roman"/>
          <w:kern w:val="0"/>
          <w:sz w:val="32"/>
          <w:szCs w:val="32"/>
        </w:rPr>
        <w:t>学科建设</w:t>
      </w:r>
      <w:r>
        <w:rPr>
          <w:rFonts w:ascii="Times New Roman" w:hAnsi="Times New Roman" w:eastAsia="黑体" w:cs="Times New Roman"/>
          <w:kern w:val="0"/>
          <w:sz w:val="32"/>
          <w:szCs w:val="32"/>
        </w:rPr>
        <w:t>水平</w:t>
      </w:r>
      <w:r>
        <w:rPr>
          <w:rFonts w:hint="eastAsia" w:ascii="Times New Roman" w:hAnsi="Times New Roman" w:eastAsia="黑体" w:cs="Times New Roman"/>
          <w:kern w:val="0"/>
          <w:sz w:val="32"/>
          <w:szCs w:val="32"/>
        </w:rPr>
        <w:t>和</w:t>
      </w:r>
      <w:r>
        <w:rPr>
          <w:rFonts w:ascii="Times New Roman" w:hAnsi="Times New Roman" w:eastAsia="黑体" w:cs="Times New Roman"/>
          <w:kern w:val="0"/>
          <w:sz w:val="32"/>
          <w:szCs w:val="32"/>
        </w:rPr>
        <w:t>科研</w:t>
      </w:r>
      <w:r>
        <w:rPr>
          <w:rFonts w:hint="eastAsia" w:ascii="Times New Roman" w:hAnsi="Times New Roman" w:eastAsia="黑体" w:cs="Times New Roman"/>
          <w:kern w:val="0"/>
          <w:sz w:val="32"/>
          <w:szCs w:val="32"/>
        </w:rPr>
        <w:t>工作</w:t>
      </w:r>
      <w:r>
        <w:rPr>
          <w:rFonts w:ascii="Times New Roman" w:hAnsi="Times New Roman" w:eastAsia="黑体" w:cs="Times New Roman"/>
          <w:kern w:val="0"/>
          <w:sz w:val="32"/>
          <w:szCs w:val="32"/>
        </w:rPr>
        <w:t>质量</w:t>
      </w:r>
    </w:p>
    <w:p w14:paraId="69945AB2">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16.加强学科（群）建设</w:t>
      </w:r>
    </w:p>
    <w:p w14:paraId="1FF39C1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探索构建</w:t>
      </w:r>
      <w:bookmarkStart w:id="6" w:name="_Hlk91256434"/>
      <w:r>
        <w:rPr>
          <w:rFonts w:hint="eastAsia" w:ascii="Times New Roman" w:hAnsi="Times New Roman" w:eastAsia="仿宋_GB2312" w:cs="Times New Roman"/>
          <w:kern w:val="0"/>
          <w:sz w:val="32"/>
          <w:szCs w:val="32"/>
        </w:rPr>
        <w:t>省级优势特色学科（群）</w:t>
      </w:r>
      <w:bookmarkEnd w:id="6"/>
      <w:r>
        <w:rPr>
          <w:rFonts w:hint="eastAsia" w:ascii="Times New Roman" w:hAnsi="Times New Roman" w:eastAsia="仿宋_GB2312" w:cs="Times New Roman"/>
          <w:kern w:val="0"/>
          <w:sz w:val="32"/>
          <w:szCs w:val="32"/>
        </w:rPr>
        <w:t>、校级重点学科两级学科分层建设体系。推进文化传播与数字内容产业发展、物理学2个省级优势特色学科（群）及其支撑学科建设，严格落实五年建设规划和年度建设计划，开展项目绩效自评，制定问题清单及整改措施，确保学科（群）建设成效。按照强基础、重交叉、创特色、上水平的思路，选育3</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4个校级重点学科，凝练学科方向、建设学科平台、创新体制机制，培育学科发展新</w:t>
      </w:r>
      <w:r>
        <w:rPr>
          <w:rFonts w:hint="eastAsia" w:ascii="Times New Roman" w:hAnsi="Times New Roman" w:eastAsia="仿宋_GB2312" w:cs="Times New Roman"/>
          <w:kern w:val="0"/>
          <w:sz w:val="32"/>
          <w:szCs w:val="32"/>
          <w:highlight w:val="none"/>
        </w:rPr>
        <w:t>动能，探索学校、产业、科技创新协同发展、深度融合的学科体系。发挥农业电子商务湖北省协同创新中心带动学科发展的作用。</w:t>
      </w:r>
    </w:p>
    <w:p w14:paraId="4BBC80E4">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对标新增硕士学位授予单位及授权点要求开展建设。继续做好联合培养研究生工作，加大学校导师参与度，提升联合培养研究生的数量与质量。</w:t>
      </w:r>
    </w:p>
    <w:p w14:paraId="4CA27092">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17.进一步扩大科研规模和产出</w:t>
      </w:r>
    </w:p>
    <w:p w14:paraId="0817811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加强校级科研团队建设，重视过程监管与考核，推动人才、团队、基地、项目的一体化联动。继续支持和发挥农业电子商务湖北省协同创新中心在科学研究、人才培养中的引领作用，带动学校相关学科专业发展，新增获批1个省级科研平台。鼓励教师发表高水平论文不少于2</w:t>
      </w:r>
      <w:r>
        <w:rPr>
          <w:rFonts w:ascii="Times New Roman" w:hAnsi="Times New Roman" w:eastAsia="仿宋_GB2312" w:cs="Times New Roman"/>
          <w:kern w:val="0"/>
          <w:sz w:val="32"/>
          <w:szCs w:val="32"/>
        </w:rPr>
        <w:t>33</w:t>
      </w:r>
      <w:r>
        <w:rPr>
          <w:rFonts w:hint="eastAsia" w:ascii="Times New Roman" w:hAnsi="Times New Roman" w:eastAsia="仿宋_GB2312" w:cs="Times New Roman"/>
          <w:kern w:val="0"/>
          <w:sz w:val="32"/>
          <w:szCs w:val="32"/>
        </w:rPr>
        <w:t>篇，鼓励支持科技成果转化或应用，引导教师开展标准研制、发明专利授权、科研成果转让、应用、作价入股等工作，加大智库成果建设力度。按照“三到”（到人、到事、到时）工作原则，进一步改进科研服务，及时对《科研管理办法》有关条款作出解释和说明。力争获批立项国家级项目不少于</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项、省部级</w:t>
      </w:r>
      <w:r>
        <w:rPr>
          <w:rFonts w:hint="eastAsia" w:ascii="Times New Roman" w:hAnsi="Times New Roman" w:eastAsia="仿宋_GB2312" w:cs="Times New Roman"/>
          <w:kern w:val="0"/>
          <w:sz w:val="32"/>
          <w:szCs w:val="32"/>
          <w:lang w:eastAsia="zh-CN"/>
        </w:rPr>
        <w:t>和</w:t>
      </w:r>
      <w:r>
        <w:rPr>
          <w:rFonts w:hint="eastAsia" w:ascii="Times New Roman" w:hAnsi="Times New Roman" w:eastAsia="仿宋_GB2312" w:cs="Times New Roman"/>
          <w:kern w:val="0"/>
          <w:sz w:val="32"/>
          <w:szCs w:val="32"/>
        </w:rPr>
        <w:t>市厅级项目不少于</w:t>
      </w:r>
      <w:r>
        <w:rPr>
          <w:rFonts w:ascii="Times New Roman" w:hAnsi="Times New Roman" w:eastAsia="仿宋_GB2312" w:cs="Times New Roman"/>
          <w:kern w:val="0"/>
          <w:sz w:val="32"/>
          <w:szCs w:val="32"/>
        </w:rPr>
        <w:t>52</w:t>
      </w:r>
      <w:r>
        <w:rPr>
          <w:rFonts w:hint="eastAsia" w:ascii="Times New Roman" w:hAnsi="Times New Roman" w:eastAsia="仿宋_GB2312" w:cs="Times New Roman"/>
          <w:kern w:val="0"/>
          <w:sz w:val="32"/>
          <w:szCs w:val="32"/>
        </w:rPr>
        <w:t>项，力争取得科研成果奖的新突破，全年度科研到账经费达到9</w:t>
      </w:r>
      <w:r>
        <w:rPr>
          <w:rFonts w:ascii="Times New Roman" w:hAnsi="Times New Roman" w:eastAsia="仿宋_GB2312" w:cs="Times New Roman"/>
          <w:kern w:val="0"/>
          <w:sz w:val="32"/>
          <w:szCs w:val="32"/>
        </w:rPr>
        <w:t>50</w:t>
      </w:r>
      <w:r>
        <w:rPr>
          <w:rFonts w:hint="eastAsia" w:ascii="Times New Roman" w:hAnsi="Times New Roman" w:eastAsia="仿宋_GB2312" w:cs="Times New Roman"/>
          <w:kern w:val="0"/>
          <w:sz w:val="32"/>
          <w:szCs w:val="32"/>
        </w:rPr>
        <w:t>万元。</w:t>
      </w:r>
    </w:p>
    <w:p w14:paraId="527C76C2">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加强人才队伍建设</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提升师资队伍整体水平</w:t>
      </w:r>
    </w:p>
    <w:p w14:paraId="21A6C88B">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18.加强师德师风建设</w:t>
      </w:r>
    </w:p>
    <w:p w14:paraId="641CB24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坚持师德师风第一标准，开展教师思想状况调查，将师德考核贯穿教育教学全过程。拟订《师德师风负面清单和失范行为处理办法》，严肃查处师德违规行为。组织</w:t>
      </w:r>
      <w:r>
        <w:rPr>
          <w:rFonts w:ascii="Times New Roman" w:hAnsi="Times New Roman" w:eastAsia="仿宋_GB2312" w:cs="Times New Roman"/>
          <w:kern w:val="0"/>
          <w:sz w:val="32"/>
          <w:szCs w:val="32"/>
        </w:rPr>
        <w:t>开展师德讲座</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师风督查</w:t>
      </w:r>
      <w:r>
        <w:rPr>
          <w:rFonts w:hint="eastAsia" w:ascii="Times New Roman" w:hAnsi="Times New Roman" w:eastAsia="仿宋_GB2312" w:cs="Times New Roman"/>
          <w:kern w:val="0"/>
          <w:sz w:val="32"/>
          <w:szCs w:val="32"/>
        </w:rPr>
        <w:t>和师德建设月活动。健全教师荣誉制度，评选表彰优秀教师（师德标兵），积极参加“荆楚好老师”等评选活动。</w:t>
      </w:r>
    </w:p>
    <w:p w14:paraId="2A33FB58">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19.实施人</w:t>
      </w:r>
      <w:r>
        <w:rPr>
          <w:rFonts w:ascii="Times New Roman" w:hAnsi="Times New Roman" w:eastAsia="楷体_GB2312" w:cs="Times New Roman"/>
          <w:b/>
          <w:kern w:val="0"/>
          <w:sz w:val="32"/>
          <w:szCs w:val="32"/>
        </w:rPr>
        <w:t>才引</w:t>
      </w:r>
      <w:r>
        <w:rPr>
          <w:rFonts w:hint="eastAsia" w:ascii="Times New Roman" w:hAnsi="Times New Roman" w:eastAsia="楷体_GB2312" w:cs="Times New Roman"/>
          <w:b/>
          <w:kern w:val="0"/>
          <w:sz w:val="32"/>
          <w:szCs w:val="32"/>
        </w:rPr>
        <w:t>进</w:t>
      </w:r>
      <w:r>
        <w:rPr>
          <w:rFonts w:ascii="Times New Roman" w:hAnsi="Times New Roman" w:eastAsia="楷体_GB2312" w:cs="Times New Roman"/>
          <w:b/>
          <w:kern w:val="0"/>
          <w:sz w:val="32"/>
          <w:szCs w:val="32"/>
        </w:rPr>
        <w:t>工程</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加强教学</w:t>
      </w:r>
      <w:r>
        <w:rPr>
          <w:rFonts w:hint="eastAsia" w:ascii="Times New Roman" w:hAnsi="Times New Roman" w:eastAsia="楷体_GB2312" w:cs="Times New Roman"/>
          <w:b/>
          <w:kern w:val="0"/>
          <w:sz w:val="32"/>
          <w:szCs w:val="32"/>
        </w:rPr>
        <w:t>、科研</w:t>
      </w:r>
      <w:r>
        <w:rPr>
          <w:rFonts w:ascii="Times New Roman" w:hAnsi="Times New Roman" w:eastAsia="楷体_GB2312" w:cs="Times New Roman"/>
          <w:b/>
          <w:kern w:val="0"/>
          <w:sz w:val="32"/>
          <w:szCs w:val="32"/>
        </w:rPr>
        <w:t>团队建设</w:t>
      </w:r>
    </w:p>
    <w:p w14:paraId="495186A0">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在稳定现有人才队伍的同时，加大人才引进力度，重点引进一批中青年博士人才、学科专业领军人才，引进博士学位教师不少于2</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人，比例达到2</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%以上，新增省级以上人才计划人数2个，</w:t>
      </w:r>
      <w:r>
        <w:rPr>
          <w:rFonts w:ascii="Times New Roman" w:hAnsi="Times New Roman" w:eastAsia="仿宋_GB2312" w:cs="Times New Roman"/>
          <w:kern w:val="0"/>
          <w:sz w:val="32"/>
          <w:szCs w:val="32"/>
        </w:rPr>
        <w:t>补齐新办专业、师资紧缺专业</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师资短板</w:t>
      </w:r>
      <w:r>
        <w:rPr>
          <w:rFonts w:hint="eastAsia" w:ascii="Times New Roman" w:hAnsi="Times New Roman" w:eastAsia="仿宋_GB2312" w:cs="Times New Roman"/>
          <w:kern w:val="0"/>
          <w:sz w:val="32"/>
          <w:szCs w:val="32"/>
        </w:rPr>
        <w:t>，遴选招聘一批教职工到南校区工作，保障南校区教学管理工作。实施教学团队、科研团队培育计划，以教学名师和专业带头人为核心组建</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个省级教学团队</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以高层次人才为核心，以省级人才工程项目评选和学校《高层次人才聘用管理办法》为契机，组建</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个省级科技创新团队。进一步完善“双师型”师资的认定标准、认定程序、待遇以及考核评价，丰富兼职教师资源库，大力引进来自企业行业教师，建立相对稳定的兼职教师队伍。</w:t>
      </w:r>
    </w:p>
    <w:p w14:paraId="1A69D906">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20.实施人才培养工程，改革职称评聘</w:t>
      </w:r>
    </w:p>
    <w:p w14:paraId="7642370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将习近平新时代中国特色社会主义思想、习近平总书记关于教育的重要论述作为教职工培训的必修课和重要内容。发挥教师发展中心功能，分类指导教职工建立职业发展规划，构建教师自我培训、校本培训和访学研修、企业挂职等相结合的培训体系，采取线上线下相结合的培训方式，落实5年一轮的培训机制，注重新进教职工的岗前培训。严肃查处休假式挂职和访学现象。</w:t>
      </w:r>
    </w:p>
    <w:p w14:paraId="1668AFEE">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充分发挥职称评聘在选拔人才、评价人才、鼓励人才方面的导向作用，修订完善职称申报评审相关制度，突出教育教学实绩，强化一线学生工作，突出成果质量导向，推进人才称号回归学术性、荣誉性，探索实行评聘分离。</w:t>
      </w:r>
    </w:p>
    <w:p w14:paraId="17BEFF67">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发挥南校区办学功能，</w:t>
      </w:r>
      <w:r>
        <w:rPr>
          <w:rFonts w:ascii="Times New Roman" w:hAnsi="Times New Roman" w:eastAsia="黑体" w:cs="Times New Roman"/>
          <w:kern w:val="0"/>
          <w:sz w:val="32"/>
          <w:szCs w:val="32"/>
        </w:rPr>
        <w:t xml:space="preserve">提升服务保障水平 </w:t>
      </w:r>
    </w:p>
    <w:p w14:paraId="354FE86E">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21.做好南校区启用工作</w:t>
      </w:r>
    </w:p>
    <w:p w14:paraId="293E1434">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sz w:val="32"/>
          <w:szCs w:val="32"/>
        </w:rPr>
      </w:pPr>
      <w:r>
        <w:rPr>
          <w:rFonts w:hint="eastAsia" w:ascii="Times New Roman" w:hAnsi="Times New Roman" w:eastAsia="仿宋_GB2312" w:cs="Times New Roman"/>
          <w:kern w:val="0"/>
          <w:sz w:val="32"/>
          <w:szCs w:val="32"/>
        </w:rPr>
        <w:t>统筹谋划南校区启用工作，制定《南校区启用总体方案》和各专项工作方案，理顺主校区各部门和南校区工作职责，完善各项教学设施和工作生活设施，确保学生入驻的正常教学、工作、生活秩序，努力把南校区建设成为学校改革创新的试验田和高质量办学新的增长点。</w:t>
      </w:r>
    </w:p>
    <w:p w14:paraId="318D2CB3">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22.推进学校信息化建设</w:t>
      </w:r>
    </w:p>
    <w:p w14:paraId="697D5E4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highlight w:val="none"/>
        </w:rPr>
        <w:t>深化融合、创新赋能、应用驱动，</w:t>
      </w:r>
      <w:r>
        <w:rPr>
          <w:rFonts w:hint="eastAsia" w:ascii="Times New Roman" w:hAnsi="Times New Roman" w:eastAsia="仿宋_GB2312" w:cs="Times New Roman"/>
          <w:kern w:val="0"/>
          <w:sz w:val="32"/>
          <w:szCs w:val="32"/>
        </w:rPr>
        <w:t>积极发展“互联网+教育”，全面保障</w:t>
      </w:r>
      <w:r>
        <w:rPr>
          <w:rFonts w:hint="eastAsia" w:ascii="Times New Roman" w:hAnsi="Times New Roman" w:eastAsia="仿宋_GB2312" w:cs="Times New Roman"/>
          <w:kern w:val="0"/>
          <w:sz w:val="32"/>
          <w:szCs w:val="32"/>
          <w:lang w:eastAsia="zh-CN"/>
        </w:rPr>
        <w:t>学校</w:t>
      </w:r>
      <w:r>
        <w:rPr>
          <w:rFonts w:hint="eastAsia" w:ascii="Times New Roman" w:hAnsi="Times New Roman" w:eastAsia="仿宋_GB2312" w:cs="Times New Roman"/>
          <w:kern w:val="0"/>
          <w:sz w:val="32"/>
          <w:szCs w:val="32"/>
        </w:rPr>
        <w:t>网络安全。明确信息处及各单位、各部门信息化建设职责和工作任务，加快实施教育信息化2.0行动计划和智慧校园建设，推动信息技术与教育教学的深度融合和教育服务模式、学习方式的变革。加大信息化投入力度，启动校园无线网络</w:t>
      </w:r>
      <w:r>
        <w:rPr>
          <w:rFonts w:ascii="Times New Roman" w:hAnsi="Times New Roman" w:eastAsia="仿宋_GB2312" w:cs="Times New Roman"/>
          <w:kern w:val="0"/>
          <w:sz w:val="32"/>
          <w:szCs w:val="32"/>
        </w:rPr>
        <w:t>、数据中心等基础设施建设</w:t>
      </w:r>
      <w:r>
        <w:rPr>
          <w:rFonts w:hint="eastAsia" w:ascii="Times New Roman" w:hAnsi="Times New Roman" w:eastAsia="仿宋_GB2312" w:cs="Times New Roman"/>
          <w:kern w:val="0"/>
          <w:sz w:val="32"/>
          <w:szCs w:val="32"/>
        </w:rPr>
        <w:t>，高起点、高标准实施南校区校园信息化建设，规范建设门户网站（含南校区板块）和O</w:t>
      </w:r>
      <w:r>
        <w:rPr>
          <w:rFonts w:ascii="Times New Roman" w:hAnsi="Times New Roman" w:eastAsia="仿宋_GB2312" w:cs="Times New Roman"/>
          <w:kern w:val="0"/>
          <w:sz w:val="32"/>
          <w:szCs w:val="32"/>
        </w:rPr>
        <w:t>A</w:t>
      </w:r>
      <w:r>
        <w:rPr>
          <w:rFonts w:hint="eastAsia" w:ascii="Times New Roman" w:hAnsi="Times New Roman" w:eastAsia="仿宋_GB2312" w:cs="Times New Roman"/>
          <w:kern w:val="0"/>
          <w:sz w:val="32"/>
          <w:szCs w:val="32"/>
        </w:rPr>
        <w:t>办公系统，加大学校基础数据和核心业务一体化共享互通建设力度，推动智慧教室和数字资源建设，提高使用效果。开展教师信息技术应用能力提升培训。创新管理服务</w:t>
      </w:r>
      <w:r>
        <w:rPr>
          <w:rFonts w:hint="eastAsia" w:ascii="Times New Roman" w:hAnsi="Times New Roman" w:eastAsia="仿宋_GB2312" w:cs="Times New Roman"/>
          <w:kern w:val="0"/>
          <w:sz w:val="32"/>
          <w:szCs w:val="32"/>
          <w:lang w:eastAsia="zh-CN"/>
        </w:rPr>
        <w:t>方式</w:t>
      </w:r>
      <w:r>
        <w:rPr>
          <w:rFonts w:hint="eastAsia" w:ascii="Times New Roman" w:hAnsi="Times New Roman" w:eastAsia="仿宋_GB2312" w:cs="Times New Roman"/>
          <w:kern w:val="0"/>
          <w:sz w:val="32"/>
          <w:szCs w:val="32"/>
        </w:rPr>
        <w:t>和方法，提升服务师生质量和运行管理效率、优化教学资源配置。</w:t>
      </w:r>
    </w:p>
    <w:p w14:paraId="65AB8A58">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23.加</w:t>
      </w:r>
      <w:r>
        <w:rPr>
          <w:rFonts w:ascii="Times New Roman" w:hAnsi="Times New Roman" w:eastAsia="楷体_GB2312" w:cs="Times New Roman"/>
          <w:b/>
          <w:kern w:val="0"/>
          <w:sz w:val="32"/>
          <w:szCs w:val="32"/>
        </w:rPr>
        <w:t>强服务</w:t>
      </w:r>
      <w:r>
        <w:rPr>
          <w:rFonts w:hint="eastAsia" w:ascii="Times New Roman" w:hAnsi="Times New Roman" w:eastAsia="楷体_GB2312" w:cs="Times New Roman"/>
          <w:b/>
          <w:kern w:val="0"/>
          <w:sz w:val="32"/>
          <w:szCs w:val="32"/>
        </w:rPr>
        <w:t>保障和资源使用效果</w:t>
      </w:r>
    </w:p>
    <w:p w14:paraId="0705C8D3">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b/>
          <w:kern w:val="0"/>
          <w:sz w:val="32"/>
          <w:szCs w:val="32"/>
        </w:rPr>
      </w:pPr>
      <w:r>
        <w:rPr>
          <w:rFonts w:hint="eastAsia" w:ascii="Times New Roman" w:hAnsi="Times New Roman" w:eastAsia="仿宋_GB2312" w:cs="Times New Roman"/>
          <w:kern w:val="0"/>
          <w:sz w:val="32"/>
          <w:szCs w:val="32"/>
        </w:rPr>
        <w:t>分步改造装修主校区教学楼，倒排工期，确保按时完工。完成南校区一期工程各类基建项目，妥善安排教职工在南校区的通勤、食宿，建立南校区土地、校舍和办学基本条件数据台账。</w:t>
      </w:r>
      <w:r>
        <w:rPr>
          <w:rFonts w:ascii="Times New Roman" w:hAnsi="Times New Roman" w:eastAsia="仿宋_GB2312" w:cs="Times New Roman"/>
          <w:kern w:val="0"/>
          <w:sz w:val="32"/>
          <w:szCs w:val="32"/>
        </w:rPr>
        <w:t>提升图书馆、档案馆管理服务水平。</w:t>
      </w:r>
      <w:r>
        <w:rPr>
          <w:rFonts w:hint="eastAsia" w:ascii="Times New Roman" w:hAnsi="Times New Roman" w:eastAsia="仿宋_GB2312" w:cs="Times New Roman"/>
          <w:kern w:val="0"/>
          <w:sz w:val="32"/>
          <w:szCs w:val="32"/>
        </w:rPr>
        <w:t>规范收费目录清单，确保学费缴费率不低于上年，</w:t>
      </w:r>
      <w:r>
        <w:rPr>
          <w:rFonts w:hint="eastAsia" w:ascii="Times New Roman" w:hAnsi="Times New Roman" w:eastAsia="仿宋_GB2312" w:cs="Times New Roman"/>
          <w:kern w:val="0"/>
          <w:sz w:val="32"/>
          <w:szCs w:val="32"/>
          <w:highlight w:val="none"/>
        </w:rPr>
        <w:t>保障“十四五”规划重点项目的实施</w:t>
      </w:r>
      <w:r>
        <w:rPr>
          <w:rFonts w:hint="eastAsia" w:ascii="Times New Roman" w:hAnsi="Times New Roman" w:eastAsia="仿宋_GB2312" w:cs="Times New Roman"/>
          <w:b/>
          <w:kern w:val="0"/>
          <w:sz w:val="32"/>
          <w:szCs w:val="32"/>
          <w:highlight w:val="none"/>
        </w:rPr>
        <w:t>。</w:t>
      </w:r>
      <w:r>
        <w:rPr>
          <w:rFonts w:hint="eastAsia" w:ascii="Times New Roman" w:hAnsi="Times New Roman" w:eastAsia="仿宋_GB2312" w:cs="Times New Roman"/>
          <w:kern w:val="0"/>
          <w:sz w:val="32"/>
          <w:szCs w:val="32"/>
          <w:highlight w:val="none"/>
        </w:rPr>
        <w:t>做好新一轮薪酬调整的前期调研和方案拟定工作，</w:t>
      </w:r>
      <w:r>
        <w:rPr>
          <w:rFonts w:ascii="Times New Roman" w:hAnsi="Times New Roman" w:eastAsia="仿宋_GB2312" w:cs="Times New Roman"/>
          <w:kern w:val="0"/>
          <w:sz w:val="32"/>
          <w:szCs w:val="32"/>
          <w:highlight w:val="none"/>
        </w:rPr>
        <w:t>促进</w:t>
      </w:r>
      <w:r>
        <w:rPr>
          <w:rFonts w:hint="eastAsia" w:ascii="Times New Roman" w:hAnsi="Times New Roman" w:eastAsia="仿宋_GB2312" w:cs="Times New Roman"/>
          <w:kern w:val="0"/>
          <w:sz w:val="32"/>
          <w:szCs w:val="32"/>
          <w:highlight w:val="none"/>
        </w:rPr>
        <w:t>学校</w:t>
      </w:r>
      <w:r>
        <w:rPr>
          <w:rFonts w:ascii="Times New Roman" w:hAnsi="Times New Roman" w:eastAsia="仿宋_GB2312" w:cs="Times New Roman"/>
          <w:kern w:val="0"/>
          <w:sz w:val="32"/>
          <w:szCs w:val="32"/>
          <w:highlight w:val="none"/>
        </w:rPr>
        <w:t>发展成果更多更公平惠及</w:t>
      </w:r>
      <w:r>
        <w:rPr>
          <w:rFonts w:hint="eastAsia" w:ascii="Times New Roman" w:hAnsi="Times New Roman" w:eastAsia="仿宋_GB2312" w:cs="Times New Roman"/>
          <w:kern w:val="0"/>
          <w:sz w:val="32"/>
          <w:szCs w:val="32"/>
          <w:highlight w:val="none"/>
        </w:rPr>
        <w:t>教职工。</w:t>
      </w:r>
    </w:p>
    <w:p w14:paraId="1439A98B">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黑体" w:cs="Times New Roman"/>
          <w:b/>
          <w:bCs/>
          <w:kern w:val="0"/>
          <w:sz w:val="32"/>
          <w:szCs w:val="32"/>
        </w:rPr>
      </w:pPr>
      <w:r>
        <w:rPr>
          <w:rFonts w:hint="eastAsia" w:ascii="Times New Roman" w:hAnsi="Times New Roman" w:eastAsia="黑体" w:cs="Times New Roman"/>
          <w:kern w:val="0"/>
          <w:sz w:val="32"/>
          <w:szCs w:val="32"/>
        </w:rPr>
        <w:t>八、开展疫情常态化防控，</w:t>
      </w:r>
      <w:r>
        <w:rPr>
          <w:rFonts w:ascii="Times New Roman" w:hAnsi="Times New Roman" w:eastAsia="黑体" w:cs="Times New Roman"/>
          <w:kern w:val="0"/>
          <w:sz w:val="32"/>
          <w:szCs w:val="32"/>
        </w:rPr>
        <w:t>维护学校</w:t>
      </w:r>
      <w:r>
        <w:rPr>
          <w:rFonts w:hint="eastAsia" w:ascii="Times New Roman" w:hAnsi="Times New Roman" w:eastAsia="黑体" w:cs="Times New Roman"/>
          <w:kern w:val="0"/>
          <w:sz w:val="32"/>
          <w:szCs w:val="32"/>
        </w:rPr>
        <w:t>安全</w:t>
      </w:r>
      <w:r>
        <w:rPr>
          <w:rFonts w:ascii="Times New Roman" w:hAnsi="Times New Roman" w:eastAsia="黑体" w:cs="Times New Roman"/>
          <w:kern w:val="0"/>
          <w:sz w:val="32"/>
          <w:szCs w:val="32"/>
        </w:rPr>
        <w:t>稳定</w:t>
      </w:r>
    </w:p>
    <w:p w14:paraId="6DF411C0">
      <w:pPr>
        <w:keepNext w:val="0"/>
        <w:keepLines w:val="0"/>
        <w:pageBreakBefore w:val="0"/>
        <w:widowControl/>
        <w:kinsoku/>
        <w:wordWrap/>
        <w:overflowPunct/>
        <w:topLinePunct w:val="0"/>
        <w:autoSpaceDE/>
        <w:autoSpaceDN/>
        <w:bidi w:val="0"/>
        <w:spacing w:line="588" w:lineRule="exact"/>
        <w:ind w:firstLine="561"/>
        <w:jc w:val="both"/>
        <w:textAlignment w:val="auto"/>
        <w:rPr>
          <w:rFonts w:ascii="楷体_GB2312" w:hAnsi="Times New Roman" w:eastAsia="楷体_GB2312" w:cs="Times New Roman"/>
          <w:b/>
          <w:kern w:val="0"/>
          <w:sz w:val="32"/>
          <w:szCs w:val="32"/>
        </w:rPr>
      </w:pPr>
      <w:r>
        <w:rPr>
          <w:rFonts w:hint="eastAsia" w:ascii="楷体_GB2312" w:eastAsia="楷体_GB2312"/>
          <w:b/>
          <w:bCs/>
          <w:sz w:val="32"/>
          <w:szCs w:val="32"/>
        </w:rPr>
        <w:t>24.毫不</w:t>
      </w:r>
      <w:r>
        <w:rPr>
          <w:rFonts w:hint="eastAsia" w:ascii="楷体_GB2312" w:hAnsi="Times New Roman" w:eastAsia="楷体_GB2312" w:cs="Times New Roman"/>
          <w:b/>
          <w:kern w:val="0"/>
          <w:sz w:val="32"/>
          <w:szCs w:val="32"/>
        </w:rPr>
        <w:t>放松抓好常态化疫情防控工作</w:t>
      </w:r>
    </w:p>
    <w:p w14:paraId="054BD5E5">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精准落实各级防疫部门有关工作部署，统筹推进疫情防控和教育事业改革发展，严格校门登记管理和师生活动、出行备案审批。完善应对聚集性疫情应急预案。推动抗疫精神进课堂、进教材、进头脑。</w:t>
      </w:r>
    </w:p>
    <w:p w14:paraId="2F888E1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楷体_GB2312" w:cs="Times New Roman"/>
          <w:b/>
          <w:kern w:val="0"/>
          <w:sz w:val="32"/>
          <w:szCs w:val="32"/>
        </w:rPr>
      </w:pPr>
      <w:bookmarkStart w:id="7" w:name="_Hlk84576322"/>
      <w:r>
        <w:rPr>
          <w:rFonts w:hint="eastAsia" w:ascii="楷体_GB2312" w:eastAsia="楷体_GB2312"/>
          <w:b/>
          <w:bCs/>
          <w:sz w:val="32"/>
          <w:szCs w:val="32"/>
        </w:rPr>
        <w:t>25.营</w:t>
      </w:r>
      <w:r>
        <w:rPr>
          <w:rFonts w:hint="eastAsia" w:ascii="Times New Roman" w:hAnsi="Times New Roman" w:eastAsia="楷体_GB2312" w:cs="Times New Roman"/>
          <w:b/>
          <w:kern w:val="0"/>
          <w:sz w:val="32"/>
          <w:szCs w:val="32"/>
        </w:rPr>
        <w:t>造安全稳定</w:t>
      </w:r>
      <w:r>
        <w:rPr>
          <w:rFonts w:ascii="Times New Roman" w:hAnsi="Times New Roman" w:eastAsia="楷体_GB2312" w:cs="Times New Roman"/>
          <w:b/>
          <w:kern w:val="0"/>
          <w:sz w:val="32"/>
          <w:szCs w:val="32"/>
        </w:rPr>
        <w:t>校园</w:t>
      </w:r>
      <w:r>
        <w:rPr>
          <w:rFonts w:hint="eastAsia" w:ascii="Times New Roman" w:hAnsi="Times New Roman" w:eastAsia="楷体_GB2312" w:cs="Times New Roman"/>
          <w:b/>
          <w:kern w:val="0"/>
          <w:sz w:val="32"/>
          <w:szCs w:val="32"/>
        </w:rPr>
        <w:t>环境</w:t>
      </w:r>
      <w:bookmarkEnd w:id="7"/>
    </w:p>
    <w:p w14:paraId="488CD043">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rPr>
        <w:t>积极落实省教育厅《2</w:t>
      </w:r>
      <w:r>
        <w:rPr>
          <w:rFonts w:ascii="Times New Roman" w:hAnsi="Times New Roman" w:eastAsia="仿宋_GB2312" w:cs="Times New Roman"/>
          <w:kern w:val="0"/>
          <w:sz w:val="32"/>
          <w:szCs w:val="32"/>
          <w:highlight w:val="none"/>
        </w:rPr>
        <w:t>022</w:t>
      </w:r>
      <w:r>
        <w:rPr>
          <w:rFonts w:hint="eastAsia" w:ascii="Times New Roman" w:hAnsi="Times New Roman" w:eastAsia="仿宋_GB2312" w:cs="Times New Roman"/>
          <w:kern w:val="0"/>
          <w:sz w:val="32"/>
          <w:szCs w:val="32"/>
          <w:highlight w:val="none"/>
        </w:rPr>
        <w:t>年全省高等学校指导督导工作方案》要求，配合做好检查整改。</w:t>
      </w:r>
      <w:r>
        <w:rPr>
          <w:rFonts w:hint="eastAsia" w:ascii="Times New Roman" w:hAnsi="Times New Roman" w:eastAsia="仿宋_GB2312" w:cs="Times New Roman"/>
          <w:kern w:val="0"/>
          <w:sz w:val="32"/>
          <w:szCs w:val="32"/>
        </w:rPr>
        <w:t>深入分析疫情、舆情、社情、校情，</w:t>
      </w:r>
      <w:r>
        <w:rPr>
          <w:rFonts w:ascii="Times New Roman" w:hAnsi="Times New Roman" w:eastAsia="仿宋_GB2312" w:cs="Times New Roman"/>
          <w:kern w:val="0"/>
          <w:sz w:val="32"/>
          <w:szCs w:val="32"/>
        </w:rPr>
        <w:t>做好敏感时期</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重大节假日和</w:t>
      </w:r>
      <w:r>
        <w:rPr>
          <w:rFonts w:hint="eastAsia" w:ascii="Times New Roman" w:hAnsi="Times New Roman" w:eastAsia="仿宋_GB2312" w:cs="Times New Roman"/>
          <w:kern w:val="0"/>
          <w:sz w:val="32"/>
          <w:szCs w:val="32"/>
        </w:rPr>
        <w:t>疫情防控值班</w:t>
      </w:r>
      <w:r>
        <w:rPr>
          <w:rFonts w:ascii="Times New Roman" w:hAnsi="Times New Roman" w:eastAsia="仿宋_GB2312" w:cs="Times New Roman"/>
          <w:kern w:val="0"/>
          <w:sz w:val="32"/>
          <w:szCs w:val="32"/>
        </w:rPr>
        <w:t>工作</w:t>
      </w:r>
      <w:r>
        <w:rPr>
          <w:rFonts w:hint="eastAsia" w:ascii="Times New Roman" w:hAnsi="Times New Roman" w:eastAsia="仿宋_GB2312" w:cs="Times New Roman"/>
          <w:kern w:val="0"/>
          <w:sz w:val="32"/>
          <w:szCs w:val="32"/>
        </w:rPr>
        <w:t>，扎实推进平安校园“七防”工程。开展食品卫生安全、实验室安全、消防安全、校车安全</w:t>
      </w:r>
      <w:r>
        <w:rPr>
          <w:rFonts w:hint="eastAsia" w:ascii="Times New Roman" w:hAnsi="Times New Roman" w:eastAsia="仿宋_GB2312" w:cs="Times New Roman"/>
          <w:b/>
          <w:bCs/>
          <w:kern w:val="0"/>
          <w:sz w:val="32"/>
          <w:szCs w:val="32"/>
        </w:rPr>
        <w:t>、</w:t>
      </w:r>
      <w:r>
        <w:rPr>
          <w:rFonts w:hint="eastAsia" w:ascii="Times New Roman" w:hAnsi="Times New Roman" w:eastAsia="仿宋_GB2312" w:cs="Times New Roman"/>
          <w:kern w:val="0"/>
          <w:sz w:val="32"/>
          <w:szCs w:val="32"/>
        </w:rPr>
        <w:t>公共卫生安全及防溺水、防非法“校园贷”等专项整治和突发事件应急处置演练，防范抵御宗教和邪教渗透，构建网格化管理、精细化服务、信息化支撑、开放共享的管理服务平台，巩固平安校园和学校社会治安综合治理工作成果，确保两个校区不发生影响稳定的责任事故。</w:t>
      </w:r>
    </w:p>
    <w:p w14:paraId="66990882">
      <w:pPr>
        <w:pStyle w:val="2"/>
        <w:rPr>
          <w:rFonts w:hint="eastAsia" w:ascii="Times New Roman" w:hAnsi="Times New Roman" w:eastAsia="仿宋_GB2312" w:cs="Times New Roman"/>
          <w:kern w:val="0"/>
          <w:sz w:val="32"/>
          <w:szCs w:val="32"/>
        </w:rPr>
      </w:pPr>
    </w:p>
    <w:p w14:paraId="74D0F133">
      <w:pPr>
        <w:pStyle w:val="2"/>
        <w:rPr>
          <w:rFonts w:hint="eastAsia" w:ascii="Times New Roman" w:hAnsi="Times New Roman" w:eastAsia="仿宋_GB2312" w:cs="Times New Roman"/>
          <w:kern w:val="0"/>
          <w:sz w:val="32"/>
          <w:szCs w:val="32"/>
        </w:rPr>
      </w:pPr>
    </w:p>
    <w:p w14:paraId="4C2C5479">
      <w:pPr>
        <w:pStyle w:val="2"/>
        <w:rPr>
          <w:rFonts w:hint="eastAsia" w:ascii="Times New Roman" w:hAnsi="Times New Roman" w:eastAsia="仿宋_GB2312" w:cs="Times New Roman"/>
          <w:kern w:val="0"/>
          <w:sz w:val="32"/>
          <w:szCs w:val="32"/>
        </w:rPr>
      </w:pPr>
    </w:p>
    <w:p w14:paraId="055809BE">
      <w:pPr>
        <w:pStyle w:val="2"/>
        <w:rPr>
          <w:rFonts w:hint="eastAsia" w:ascii="Times New Roman" w:hAnsi="Times New Roman" w:eastAsia="仿宋_GB2312" w:cs="Times New Roman"/>
          <w:kern w:val="0"/>
          <w:sz w:val="32"/>
          <w:szCs w:val="32"/>
        </w:rPr>
      </w:pPr>
    </w:p>
    <w:p w14:paraId="5F1713B3">
      <w:pPr>
        <w:pStyle w:val="2"/>
        <w:rPr>
          <w:rFonts w:hint="eastAsia" w:ascii="Times New Roman" w:hAnsi="Times New Roman" w:eastAsia="仿宋_GB2312" w:cs="Times New Roman"/>
          <w:kern w:val="0"/>
          <w:sz w:val="32"/>
          <w:szCs w:val="32"/>
        </w:rPr>
      </w:pPr>
    </w:p>
    <w:p w14:paraId="3F55DB5F">
      <w:pPr>
        <w:pStyle w:val="2"/>
        <w:rPr>
          <w:rFonts w:hint="eastAsia" w:ascii="Times New Roman" w:hAnsi="Times New Roman" w:eastAsia="仿宋_GB2312" w:cs="Times New Roman"/>
          <w:kern w:val="0"/>
          <w:sz w:val="32"/>
          <w:szCs w:val="32"/>
        </w:rPr>
      </w:pPr>
    </w:p>
    <w:p w14:paraId="2E26944D">
      <w:pPr>
        <w:pStyle w:val="2"/>
        <w:rPr>
          <w:rFonts w:hint="eastAsia" w:ascii="Times New Roman" w:hAnsi="Times New Roman" w:eastAsia="仿宋_GB2312" w:cs="Times New Roman"/>
          <w:kern w:val="0"/>
          <w:sz w:val="32"/>
          <w:szCs w:val="32"/>
        </w:rPr>
      </w:pPr>
    </w:p>
    <w:tbl>
      <w:tblPr>
        <w:tblStyle w:val="6"/>
        <w:tblpPr w:leftFromText="180" w:rightFromText="180" w:vertAnchor="text" w:horzAnchor="page" w:tblpX="1690" w:tblpY="12324"/>
        <w:tblOverlap w:val="never"/>
        <w:tblW w:w="0" w:type="auto"/>
        <w:tblInd w:w="0" w:type="dxa"/>
        <w:tblLayout w:type="fixed"/>
        <w:tblCellMar>
          <w:top w:w="0" w:type="dxa"/>
          <w:left w:w="108" w:type="dxa"/>
          <w:bottom w:w="0" w:type="dxa"/>
          <w:right w:w="108" w:type="dxa"/>
        </w:tblCellMar>
      </w:tblPr>
      <w:tblGrid>
        <w:gridCol w:w="8732"/>
      </w:tblGrid>
      <w:tr w14:paraId="5D9F5321">
        <w:tblPrEx>
          <w:tblCellMar>
            <w:top w:w="0" w:type="dxa"/>
            <w:left w:w="108" w:type="dxa"/>
            <w:bottom w:w="0" w:type="dxa"/>
            <w:right w:w="108" w:type="dxa"/>
          </w:tblCellMar>
        </w:tblPrEx>
        <w:trPr>
          <w:trHeight w:val="510" w:hRule="exact"/>
        </w:trPr>
        <w:tc>
          <w:tcPr>
            <w:tcW w:w="8732" w:type="dxa"/>
            <w:tcBorders>
              <w:top w:val="single" w:color="auto" w:sz="8" w:space="0"/>
              <w:left w:val="nil"/>
              <w:bottom w:val="single" w:color="auto" w:sz="4" w:space="0"/>
              <w:right w:val="nil"/>
            </w:tcBorders>
            <w:noWrap w:val="0"/>
            <w:vAlign w:val="center"/>
          </w:tcPr>
          <w:p w14:paraId="6EE8AD3C">
            <w:pPr>
              <w:spacing w:line="440" w:lineRule="exact"/>
              <w:ind w:right="210" w:rightChars="100" w:firstLine="280" w:firstLineChars="100"/>
              <w:rPr>
                <w:rFonts w:hint="eastAsia" w:eastAsia="黑体"/>
                <w:b/>
                <w:bCs/>
                <w:color w:val="000000"/>
                <w:sz w:val="28"/>
                <w:szCs w:val="28"/>
              </w:rPr>
            </w:pPr>
            <w:r>
              <w:rPr>
                <w:rFonts w:hint="eastAsia" w:eastAsia="仿宋_GB2312"/>
                <w:color w:val="000000"/>
                <w:sz w:val="28"/>
                <w:szCs w:val="28"/>
              </w:rPr>
              <w:t>抄送：各位校领导。</w:t>
            </w:r>
          </w:p>
        </w:tc>
      </w:tr>
      <w:tr w14:paraId="2C300F3F">
        <w:tblPrEx>
          <w:tblCellMar>
            <w:top w:w="0" w:type="dxa"/>
            <w:left w:w="108" w:type="dxa"/>
            <w:bottom w:w="0" w:type="dxa"/>
            <w:right w:w="108" w:type="dxa"/>
          </w:tblCellMar>
        </w:tblPrEx>
        <w:trPr>
          <w:trHeight w:val="510" w:hRule="exact"/>
        </w:trPr>
        <w:tc>
          <w:tcPr>
            <w:tcW w:w="8732" w:type="dxa"/>
            <w:tcBorders>
              <w:top w:val="single" w:color="auto" w:sz="4" w:space="0"/>
              <w:bottom w:val="single" w:color="auto" w:sz="8" w:space="0"/>
            </w:tcBorders>
            <w:noWrap w:val="0"/>
            <w:vAlign w:val="center"/>
          </w:tcPr>
          <w:p w14:paraId="7DF1F809">
            <w:pPr>
              <w:spacing w:line="440" w:lineRule="exact"/>
              <w:ind w:right="210" w:rightChars="100" w:firstLine="280" w:firstLineChars="100"/>
              <w:rPr>
                <w:rFonts w:eastAsia="仿宋_GB2312"/>
                <w:color w:val="000000"/>
                <w:sz w:val="28"/>
                <w:szCs w:val="28"/>
              </w:rPr>
            </w:pPr>
            <w:r>
              <w:rPr>
                <w:rFonts w:hint="eastAsia" w:eastAsia="仿宋_GB2312"/>
                <w:color w:val="000000"/>
                <w:sz w:val="28"/>
                <w:szCs w:val="28"/>
              </w:rPr>
              <w:t>武汉东湖学院办公室</w:t>
            </w:r>
            <w:r>
              <w:rPr>
                <w:rFonts w:eastAsia="仿宋_GB2312"/>
                <w:color w:val="000000"/>
                <w:sz w:val="28"/>
                <w:szCs w:val="28"/>
              </w:rPr>
              <w:t xml:space="preserve">             </w:t>
            </w:r>
            <w:r>
              <w:rPr>
                <w:rFonts w:hint="eastAsia" w:eastAsia="仿宋_GB2312"/>
                <w:color w:val="000000"/>
                <w:sz w:val="28"/>
                <w:szCs w:val="28"/>
              </w:rPr>
              <w:t xml:space="preserve">    </w:t>
            </w:r>
            <w:r>
              <w:rPr>
                <w:rFonts w:hint="eastAsia" w:eastAsia="仿宋_GB2312"/>
                <w:color w:val="000000"/>
                <w:sz w:val="28"/>
                <w:szCs w:val="28"/>
                <w:lang w:val="en-US" w:eastAsia="zh-CN"/>
              </w:rPr>
              <w:t xml:space="preserve">  </w:t>
            </w:r>
            <w:r>
              <w:rPr>
                <w:rFonts w:hint="eastAsia" w:eastAsia="仿宋_GB2312"/>
                <w:color w:val="000000"/>
                <w:sz w:val="28"/>
                <w:szCs w:val="28"/>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22</w:t>
            </w:r>
            <w:r>
              <w:rPr>
                <w:rFonts w:hint="eastAsia" w:eastAsia="仿宋_GB2312"/>
                <w:color w:val="000000"/>
                <w:sz w:val="28"/>
                <w:szCs w:val="28"/>
              </w:rPr>
              <w:t>年</w:t>
            </w:r>
            <w:r>
              <w:rPr>
                <w:rFonts w:hint="eastAsia" w:ascii="Times New Roman" w:hAnsi="Times New Roman" w:eastAsia="仿宋_GB2312" w:cs="Times New Roman"/>
                <w:color w:val="000000"/>
                <w:sz w:val="28"/>
                <w:szCs w:val="28"/>
                <w:lang w:val="en-US" w:eastAsia="zh-CN"/>
              </w:rPr>
              <w:t>2</w:t>
            </w:r>
            <w:r>
              <w:rPr>
                <w:rFonts w:hint="eastAsia" w:eastAsia="仿宋_GB2312"/>
                <w:color w:val="000000"/>
                <w:sz w:val="28"/>
                <w:szCs w:val="28"/>
              </w:rPr>
              <w:t>月</w:t>
            </w:r>
            <w:r>
              <w:rPr>
                <w:rFonts w:hint="default" w:ascii="Times New Roman" w:hAnsi="Times New Roman" w:eastAsia="仿宋_GB2312" w:cs="Times New Roman"/>
                <w:color w:val="000000"/>
                <w:sz w:val="28"/>
                <w:szCs w:val="28"/>
                <w:lang w:val="en-US" w:eastAsia="zh-CN"/>
              </w:rPr>
              <w:t>18</w:t>
            </w:r>
            <w:r>
              <w:rPr>
                <w:rFonts w:hint="eastAsia" w:eastAsia="仿宋_GB2312"/>
                <w:color w:val="000000"/>
                <w:sz w:val="28"/>
                <w:szCs w:val="28"/>
              </w:rPr>
              <w:t>日印发</w:t>
            </w:r>
          </w:p>
        </w:tc>
      </w:tr>
    </w:tbl>
    <w:p w14:paraId="3F2700DB">
      <w:pPr>
        <w:pStyle w:val="2"/>
        <w:rPr>
          <w:rFonts w:hint="eastAsia" w:ascii="Times New Roman" w:hAnsi="Times New Roman" w:eastAsia="仿宋_GB2312" w:cs="Times New Roman"/>
          <w:kern w:val="0"/>
          <w:sz w:val="32"/>
          <w:szCs w:val="32"/>
        </w:rPr>
      </w:pPr>
    </w:p>
    <w:sectPr>
      <w:footerReference r:id="rId3" w:type="default"/>
      <w:pgSz w:w="11906" w:h="16838"/>
      <w:pgMar w:top="1757"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44C5">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03230226"/>
                          </w:sdtPr>
                          <w:sdtContent>
                            <w:p w14:paraId="3130B507">
                              <w:pPr>
                                <w:pStyle w:val="3"/>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sdtContent>
                        </w:sdt>
                        <w:p w14:paraId="20D0803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303230226"/>
                    </w:sdtPr>
                    <w:sdtContent>
                      <w:p w14:paraId="3130B507">
                        <w:pPr>
                          <w:pStyle w:val="3"/>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sdtContent>
                  </w:sdt>
                  <w:p w14:paraId="20D08039">
                    <w:pPr>
                      <w:pStyle w:val="2"/>
                    </w:pPr>
                  </w:p>
                </w:txbxContent>
              </v:textbox>
            </v:shape>
          </w:pict>
        </mc:Fallback>
      </mc:AlternateContent>
    </w:r>
  </w:p>
  <w:p w14:paraId="77D29EA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NGMwMWIyMmIyODc2YzcwOTUwYmYwZGVjMWMyNjAifQ=="/>
  </w:docVars>
  <w:rsids>
    <w:rsidRoot w:val="00270DC2"/>
    <w:rsid w:val="0001451C"/>
    <w:rsid w:val="0001737E"/>
    <w:rsid w:val="00040D38"/>
    <w:rsid w:val="000421EE"/>
    <w:rsid w:val="00044EDC"/>
    <w:rsid w:val="000533D4"/>
    <w:rsid w:val="00055E1D"/>
    <w:rsid w:val="000628CD"/>
    <w:rsid w:val="00084A68"/>
    <w:rsid w:val="0009328D"/>
    <w:rsid w:val="00095F72"/>
    <w:rsid w:val="00096963"/>
    <w:rsid w:val="000A0265"/>
    <w:rsid w:val="000A260B"/>
    <w:rsid w:val="000A5B48"/>
    <w:rsid w:val="000B11C0"/>
    <w:rsid w:val="000E0BDE"/>
    <w:rsid w:val="000F5DC7"/>
    <w:rsid w:val="001027BD"/>
    <w:rsid w:val="00124F5D"/>
    <w:rsid w:val="00125DF8"/>
    <w:rsid w:val="001308C5"/>
    <w:rsid w:val="00130E95"/>
    <w:rsid w:val="00152626"/>
    <w:rsid w:val="001854A2"/>
    <w:rsid w:val="00197AFF"/>
    <w:rsid w:val="001D449B"/>
    <w:rsid w:val="001D5084"/>
    <w:rsid w:val="001D7D62"/>
    <w:rsid w:val="001F3D21"/>
    <w:rsid w:val="0020375C"/>
    <w:rsid w:val="002044E5"/>
    <w:rsid w:val="00221E9E"/>
    <w:rsid w:val="00223206"/>
    <w:rsid w:val="00226E0A"/>
    <w:rsid w:val="00234EAD"/>
    <w:rsid w:val="0025389A"/>
    <w:rsid w:val="00270DC2"/>
    <w:rsid w:val="00276330"/>
    <w:rsid w:val="00276C9C"/>
    <w:rsid w:val="0028591C"/>
    <w:rsid w:val="00292D44"/>
    <w:rsid w:val="00297BDF"/>
    <w:rsid w:val="002A53B6"/>
    <w:rsid w:val="002B26E9"/>
    <w:rsid w:val="002C088F"/>
    <w:rsid w:val="002C3916"/>
    <w:rsid w:val="002D742B"/>
    <w:rsid w:val="002E3F09"/>
    <w:rsid w:val="003027DC"/>
    <w:rsid w:val="0030777E"/>
    <w:rsid w:val="00315D48"/>
    <w:rsid w:val="0032036F"/>
    <w:rsid w:val="00321651"/>
    <w:rsid w:val="00346964"/>
    <w:rsid w:val="0035422C"/>
    <w:rsid w:val="00357512"/>
    <w:rsid w:val="003625E9"/>
    <w:rsid w:val="0036470F"/>
    <w:rsid w:val="00371228"/>
    <w:rsid w:val="0037740E"/>
    <w:rsid w:val="0039452A"/>
    <w:rsid w:val="00394738"/>
    <w:rsid w:val="003D5625"/>
    <w:rsid w:val="003E32C0"/>
    <w:rsid w:val="00414BA7"/>
    <w:rsid w:val="00422335"/>
    <w:rsid w:val="004272DC"/>
    <w:rsid w:val="00431C80"/>
    <w:rsid w:val="00435CD2"/>
    <w:rsid w:val="00447754"/>
    <w:rsid w:val="00475F1B"/>
    <w:rsid w:val="00482E15"/>
    <w:rsid w:val="00486F44"/>
    <w:rsid w:val="00496FB5"/>
    <w:rsid w:val="004A1352"/>
    <w:rsid w:val="004A5579"/>
    <w:rsid w:val="004C6F15"/>
    <w:rsid w:val="004F094F"/>
    <w:rsid w:val="004F3CF2"/>
    <w:rsid w:val="005137DD"/>
    <w:rsid w:val="0051544E"/>
    <w:rsid w:val="005308EC"/>
    <w:rsid w:val="00535E42"/>
    <w:rsid w:val="00541EB7"/>
    <w:rsid w:val="005530F6"/>
    <w:rsid w:val="0056658E"/>
    <w:rsid w:val="00567E8F"/>
    <w:rsid w:val="0058300C"/>
    <w:rsid w:val="00596143"/>
    <w:rsid w:val="005B1B2D"/>
    <w:rsid w:val="005B2D3E"/>
    <w:rsid w:val="005C2029"/>
    <w:rsid w:val="005E61D3"/>
    <w:rsid w:val="00604CF6"/>
    <w:rsid w:val="006244AE"/>
    <w:rsid w:val="00641AEF"/>
    <w:rsid w:val="0065026B"/>
    <w:rsid w:val="00652FB6"/>
    <w:rsid w:val="006540BD"/>
    <w:rsid w:val="0067274D"/>
    <w:rsid w:val="0067569F"/>
    <w:rsid w:val="00682877"/>
    <w:rsid w:val="00695005"/>
    <w:rsid w:val="006B7C6D"/>
    <w:rsid w:val="006C2D52"/>
    <w:rsid w:val="006C65FA"/>
    <w:rsid w:val="006C7D67"/>
    <w:rsid w:val="006D20FF"/>
    <w:rsid w:val="006E04BE"/>
    <w:rsid w:val="006E5CE8"/>
    <w:rsid w:val="006F464C"/>
    <w:rsid w:val="006F6A98"/>
    <w:rsid w:val="0071284A"/>
    <w:rsid w:val="00712CF2"/>
    <w:rsid w:val="007406DC"/>
    <w:rsid w:val="00762990"/>
    <w:rsid w:val="0078368A"/>
    <w:rsid w:val="00784444"/>
    <w:rsid w:val="007A1F2B"/>
    <w:rsid w:val="007B091A"/>
    <w:rsid w:val="007B4129"/>
    <w:rsid w:val="007D02BA"/>
    <w:rsid w:val="007D4658"/>
    <w:rsid w:val="007D52B4"/>
    <w:rsid w:val="00806709"/>
    <w:rsid w:val="00821DE2"/>
    <w:rsid w:val="008270C0"/>
    <w:rsid w:val="00836CFC"/>
    <w:rsid w:val="0083761A"/>
    <w:rsid w:val="00840424"/>
    <w:rsid w:val="008405E9"/>
    <w:rsid w:val="00841403"/>
    <w:rsid w:val="00845027"/>
    <w:rsid w:val="00846A41"/>
    <w:rsid w:val="00852D56"/>
    <w:rsid w:val="00864375"/>
    <w:rsid w:val="0086768E"/>
    <w:rsid w:val="0087529C"/>
    <w:rsid w:val="008A4CCC"/>
    <w:rsid w:val="008C186A"/>
    <w:rsid w:val="008D1811"/>
    <w:rsid w:val="008E75C9"/>
    <w:rsid w:val="009016C9"/>
    <w:rsid w:val="00904CB7"/>
    <w:rsid w:val="00936254"/>
    <w:rsid w:val="0094001F"/>
    <w:rsid w:val="0094288F"/>
    <w:rsid w:val="00945EE7"/>
    <w:rsid w:val="009562E2"/>
    <w:rsid w:val="00957BA8"/>
    <w:rsid w:val="00960A65"/>
    <w:rsid w:val="00963151"/>
    <w:rsid w:val="009735A8"/>
    <w:rsid w:val="009B1B1A"/>
    <w:rsid w:val="009B1D3C"/>
    <w:rsid w:val="009D3024"/>
    <w:rsid w:val="009E4CE3"/>
    <w:rsid w:val="009F06DC"/>
    <w:rsid w:val="00A00DA6"/>
    <w:rsid w:val="00A109D4"/>
    <w:rsid w:val="00A333EB"/>
    <w:rsid w:val="00A449B9"/>
    <w:rsid w:val="00A53272"/>
    <w:rsid w:val="00A7075F"/>
    <w:rsid w:val="00A7649B"/>
    <w:rsid w:val="00AA0B2B"/>
    <w:rsid w:val="00AA5285"/>
    <w:rsid w:val="00AC0DD7"/>
    <w:rsid w:val="00AC5286"/>
    <w:rsid w:val="00AD7CDD"/>
    <w:rsid w:val="00AE0A98"/>
    <w:rsid w:val="00AE0C8B"/>
    <w:rsid w:val="00AE3CC3"/>
    <w:rsid w:val="00AE4D62"/>
    <w:rsid w:val="00AF3847"/>
    <w:rsid w:val="00AF7C6B"/>
    <w:rsid w:val="00B2271A"/>
    <w:rsid w:val="00B229CF"/>
    <w:rsid w:val="00B27F02"/>
    <w:rsid w:val="00B3518B"/>
    <w:rsid w:val="00B36CD6"/>
    <w:rsid w:val="00B37682"/>
    <w:rsid w:val="00B52EE3"/>
    <w:rsid w:val="00B74ADA"/>
    <w:rsid w:val="00B93E7F"/>
    <w:rsid w:val="00BA39AD"/>
    <w:rsid w:val="00BA7D82"/>
    <w:rsid w:val="00BB170B"/>
    <w:rsid w:val="00BC0B3D"/>
    <w:rsid w:val="00BC1BA4"/>
    <w:rsid w:val="00BC5D6F"/>
    <w:rsid w:val="00BC6502"/>
    <w:rsid w:val="00BD729B"/>
    <w:rsid w:val="00BE091C"/>
    <w:rsid w:val="00BF421B"/>
    <w:rsid w:val="00C05B69"/>
    <w:rsid w:val="00C116B1"/>
    <w:rsid w:val="00C14223"/>
    <w:rsid w:val="00C1790F"/>
    <w:rsid w:val="00C240E5"/>
    <w:rsid w:val="00C31FF6"/>
    <w:rsid w:val="00C332DD"/>
    <w:rsid w:val="00C47881"/>
    <w:rsid w:val="00C547A0"/>
    <w:rsid w:val="00C60C76"/>
    <w:rsid w:val="00C715D9"/>
    <w:rsid w:val="00C834BB"/>
    <w:rsid w:val="00C8384A"/>
    <w:rsid w:val="00C87970"/>
    <w:rsid w:val="00C95040"/>
    <w:rsid w:val="00CA2656"/>
    <w:rsid w:val="00CB4655"/>
    <w:rsid w:val="00CB6698"/>
    <w:rsid w:val="00CC58AD"/>
    <w:rsid w:val="00CD7631"/>
    <w:rsid w:val="00CE202C"/>
    <w:rsid w:val="00CE5EEF"/>
    <w:rsid w:val="00CE7E65"/>
    <w:rsid w:val="00CF2439"/>
    <w:rsid w:val="00CF2944"/>
    <w:rsid w:val="00CF3622"/>
    <w:rsid w:val="00D11A49"/>
    <w:rsid w:val="00D16D6F"/>
    <w:rsid w:val="00D22CA9"/>
    <w:rsid w:val="00D27660"/>
    <w:rsid w:val="00D32B7C"/>
    <w:rsid w:val="00D4627A"/>
    <w:rsid w:val="00D813B2"/>
    <w:rsid w:val="00D85035"/>
    <w:rsid w:val="00DC7A01"/>
    <w:rsid w:val="00DD2725"/>
    <w:rsid w:val="00DD3542"/>
    <w:rsid w:val="00DD62B8"/>
    <w:rsid w:val="00DD6C36"/>
    <w:rsid w:val="00DE0F82"/>
    <w:rsid w:val="00E0665C"/>
    <w:rsid w:val="00E23D95"/>
    <w:rsid w:val="00E26393"/>
    <w:rsid w:val="00E2683D"/>
    <w:rsid w:val="00E44DB4"/>
    <w:rsid w:val="00E47634"/>
    <w:rsid w:val="00E50C9D"/>
    <w:rsid w:val="00E52589"/>
    <w:rsid w:val="00E54001"/>
    <w:rsid w:val="00E805B7"/>
    <w:rsid w:val="00E81D37"/>
    <w:rsid w:val="00E85CE3"/>
    <w:rsid w:val="00EA559A"/>
    <w:rsid w:val="00EA7F29"/>
    <w:rsid w:val="00EC7EF7"/>
    <w:rsid w:val="00F04AB1"/>
    <w:rsid w:val="00F17031"/>
    <w:rsid w:val="00F47C4B"/>
    <w:rsid w:val="00F519F0"/>
    <w:rsid w:val="00F60E60"/>
    <w:rsid w:val="00F61B2B"/>
    <w:rsid w:val="00F83D7C"/>
    <w:rsid w:val="00FB4269"/>
    <w:rsid w:val="00FD7D67"/>
    <w:rsid w:val="00FE1F09"/>
    <w:rsid w:val="00FF044D"/>
    <w:rsid w:val="00FF07F9"/>
    <w:rsid w:val="01A93385"/>
    <w:rsid w:val="01F14768"/>
    <w:rsid w:val="03901725"/>
    <w:rsid w:val="03B51C54"/>
    <w:rsid w:val="0441752A"/>
    <w:rsid w:val="070806FF"/>
    <w:rsid w:val="090F3097"/>
    <w:rsid w:val="09E3413B"/>
    <w:rsid w:val="0A766157"/>
    <w:rsid w:val="0C622744"/>
    <w:rsid w:val="0ECD209C"/>
    <w:rsid w:val="0F0610E2"/>
    <w:rsid w:val="0F7C638D"/>
    <w:rsid w:val="0FA517EC"/>
    <w:rsid w:val="115C600E"/>
    <w:rsid w:val="11CA5479"/>
    <w:rsid w:val="11FB55C2"/>
    <w:rsid w:val="122C4F2A"/>
    <w:rsid w:val="13D22765"/>
    <w:rsid w:val="143C191F"/>
    <w:rsid w:val="148B7ADB"/>
    <w:rsid w:val="150470FF"/>
    <w:rsid w:val="158B30BD"/>
    <w:rsid w:val="15D02F91"/>
    <w:rsid w:val="15F53477"/>
    <w:rsid w:val="161C272A"/>
    <w:rsid w:val="16BE7F12"/>
    <w:rsid w:val="178A0FCC"/>
    <w:rsid w:val="1989589B"/>
    <w:rsid w:val="1AAE2EB7"/>
    <w:rsid w:val="1B4C5D3C"/>
    <w:rsid w:val="1B595EB1"/>
    <w:rsid w:val="1CA7299F"/>
    <w:rsid w:val="20435C8D"/>
    <w:rsid w:val="208A354C"/>
    <w:rsid w:val="2090568D"/>
    <w:rsid w:val="21F62C07"/>
    <w:rsid w:val="22A92310"/>
    <w:rsid w:val="22B053BC"/>
    <w:rsid w:val="248053C4"/>
    <w:rsid w:val="272034C0"/>
    <w:rsid w:val="27720924"/>
    <w:rsid w:val="27B13BC5"/>
    <w:rsid w:val="28402E3A"/>
    <w:rsid w:val="28C02FA4"/>
    <w:rsid w:val="2A7E161A"/>
    <w:rsid w:val="2AC241B6"/>
    <w:rsid w:val="2B095D82"/>
    <w:rsid w:val="2B3A0595"/>
    <w:rsid w:val="2BFD43B0"/>
    <w:rsid w:val="2CBB3430"/>
    <w:rsid w:val="2E080494"/>
    <w:rsid w:val="2E294A2D"/>
    <w:rsid w:val="2E5264D8"/>
    <w:rsid w:val="2ED2796D"/>
    <w:rsid w:val="2F863BCB"/>
    <w:rsid w:val="310554A7"/>
    <w:rsid w:val="3119230B"/>
    <w:rsid w:val="32AA4C73"/>
    <w:rsid w:val="32DC4D9C"/>
    <w:rsid w:val="34EA5940"/>
    <w:rsid w:val="354B48C1"/>
    <w:rsid w:val="35C160F2"/>
    <w:rsid w:val="3664145D"/>
    <w:rsid w:val="373D6FB2"/>
    <w:rsid w:val="37ED0B8E"/>
    <w:rsid w:val="38A95B8D"/>
    <w:rsid w:val="38C52157"/>
    <w:rsid w:val="394437E2"/>
    <w:rsid w:val="39BD1C7D"/>
    <w:rsid w:val="3B9E7BEB"/>
    <w:rsid w:val="3C063DCE"/>
    <w:rsid w:val="3C726F4F"/>
    <w:rsid w:val="3C8A2E1F"/>
    <w:rsid w:val="3D1D1C83"/>
    <w:rsid w:val="3D9E248F"/>
    <w:rsid w:val="3F3516E3"/>
    <w:rsid w:val="4076327B"/>
    <w:rsid w:val="41F06AA9"/>
    <w:rsid w:val="42BF3D26"/>
    <w:rsid w:val="42DA0782"/>
    <w:rsid w:val="42E346F2"/>
    <w:rsid w:val="42F84106"/>
    <w:rsid w:val="43260013"/>
    <w:rsid w:val="43F87E97"/>
    <w:rsid w:val="44CD203F"/>
    <w:rsid w:val="455273CF"/>
    <w:rsid w:val="48FB0E75"/>
    <w:rsid w:val="4A62690D"/>
    <w:rsid w:val="4C3B07F2"/>
    <w:rsid w:val="4D81503B"/>
    <w:rsid w:val="4F300989"/>
    <w:rsid w:val="4FC860CA"/>
    <w:rsid w:val="505446A7"/>
    <w:rsid w:val="506A3ECB"/>
    <w:rsid w:val="510065DD"/>
    <w:rsid w:val="51B230FB"/>
    <w:rsid w:val="520A0ED2"/>
    <w:rsid w:val="529671F9"/>
    <w:rsid w:val="529A63D6"/>
    <w:rsid w:val="53CE47CF"/>
    <w:rsid w:val="541854A3"/>
    <w:rsid w:val="547001E4"/>
    <w:rsid w:val="56DD64BE"/>
    <w:rsid w:val="57B07204"/>
    <w:rsid w:val="5B4B0FF2"/>
    <w:rsid w:val="5E0504CB"/>
    <w:rsid w:val="5F316783"/>
    <w:rsid w:val="5FDC3FAE"/>
    <w:rsid w:val="60BE1D54"/>
    <w:rsid w:val="60C4431C"/>
    <w:rsid w:val="60CD22FC"/>
    <w:rsid w:val="611D543B"/>
    <w:rsid w:val="621E7841"/>
    <w:rsid w:val="646946BF"/>
    <w:rsid w:val="6605175D"/>
    <w:rsid w:val="66766CBA"/>
    <w:rsid w:val="66E03A25"/>
    <w:rsid w:val="67B44C44"/>
    <w:rsid w:val="67E72316"/>
    <w:rsid w:val="68087D53"/>
    <w:rsid w:val="6AED19D9"/>
    <w:rsid w:val="6B5032A2"/>
    <w:rsid w:val="6D0B14CF"/>
    <w:rsid w:val="6D751EDD"/>
    <w:rsid w:val="6D912FC0"/>
    <w:rsid w:val="6FBC3D92"/>
    <w:rsid w:val="719B468D"/>
    <w:rsid w:val="719B5840"/>
    <w:rsid w:val="71FA4713"/>
    <w:rsid w:val="73010CE9"/>
    <w:rsid w:val="731F7FA6"/>
    <w:rsid w:val="733073FE"/>
    <w:rsid w:val="73FD6FF0"/>
    <w:rsid w:val="744C0614"/>
    <w:rsid w:val="74604C6A"/>
    <w:rsid w:val="75B37ACD"/>
    <w:rsid w:val="788B73EC"/>
    <w:rsid w:val="78B328B0"/>
    <w:rsid w:val="7A0F70D4"/>
    <w:rsid w:val="7B8D6218"/>
    <w:rsid w:val="7C17470D"/>
    <w:rsid w:val="7D61447C"/>
    <w:rsid w:val="7D62030A"/>
    <w:rsid w:val="7DEB7B49"/>
    <w:rsid w:val="7E1036E0"/>
    <w:rsid w:val="7E5C275F"/>
    <w:rsid w:val="7FE7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脚 字符"/>
    <w:basedOn w:val="7"/>
    <w:link w:val="3"/>
    <w:qFormat/>
    <w:uiPriority w:val="99"/>
    <w:rPr>
      <w:sz w:val="18"/>
      <w:szCs w:val="18"/>
    </w:rPr>
  </w:style>
  <w:style w:type="character" w:customStyle="1" w:styleId="9">
    <w:name w:val="页眉 字符"/>
    <w:basedOn w:val="7"/>
    <w:link w:val="4"/>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6930</Words>
  <Characters>7038</Characters>
  <Lines>49</Lines>
  <Paragraphs>13</Paragraphs>
  <TotalTime>13</TotalTime>
  <ScaleCrop>false</ScaleCrop>
  <LinksUpToDate>false</LinksUpToDate>
  <CharactersWithSpaces>7095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2021-10-06T03:50:00Z</dcterms:created>
  <dc:creator>W</dc:creator>
  <cp:lastModifiedBy>Administrator</cp:lastModifiedBy>
  <dcterms:modified xsi:type="dcterms:W3CDTF">2025-07-15T10:11:26Z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3FEFE0A54F10499DA4D0E2406CD76C2F_13</vt:lpwstr>
  </property>
  <property fmtid="{D5CDD505-2E9C-101B-9397-08002B2CF9AE}" pid="4" name="KSOTemplateDocerSaveRecord">
    <vt:lpwstr>eyJoZGlkIjoiNTYyMDUzOGVhNTY0ZTMwYjA0MDQ3YTE0MjY1YjVkY2EiLCJ1c2VySWQiOiI3MDE5NTM1MTMifQ==</vt:lpwstr>
  </property>
</Properties>
</file>