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483FA">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24351B12">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4C780872">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247AD76D">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73928C94">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537532E8">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427C7BF1">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5F6569E6">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p>
    <w:p w14:paraId="2B9D301C">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kern w:val="0"/>
          <w:sz w:val="44"/>
          <w:szCs w:val="44"/>
        </w:rPr>
      </w:pPr>
      <w:r>
        <w:rPr>
          <w:rFonts w:ascii="仿宋_GB2312" w:hAnsi="Arial"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1362075</wp:posOffset>
                </wp:positionH>
                <wp:positionV relativeFrom="paragraph">
                  <wp:posOffset>74295</wp:posOffset>
                </wp:positionV>
                <wp:extent cx="2703195" cy="3994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03195" cy="399415"/>
                        </a:xfrm>
                        <a:prstGeom prst="rect">
                          <a:avLst/>
                        </a:prstGeom>
                        <a:noFill/>
                        <a:ln>
                          <a:noFill/>
                        </a:ln>
                      </wps:spPr>
                      <wps:txbx>
                        <w:txbxContent>
                          <w:p w14:paraId="6FC4BAF7">
                            <w:pPr>
                              <w:jc w:val="center"/>
                              <w:rPr>
                                <w:rFonts w:hint="eastAsia" w:ascii="仿宋_GB2312" w:eastAsia="仿宋_GB2312"/>
                                <w:sz w:val="32"/>
                                <w:szCs w:val="32"/>
                              </w:rPr>
                            </w:pPr>
                            <w:r>
                              <w:rPr>
                                <w:rFonts w:hint="eastAsia" w:ascii="仿宋_GB2312" w:eastAsia="仿宋_GB2312"/>
                                <w:sz w:val="32"/>
                                <w:szCs w:val="32"/>
                              </w:rPr>
                              <w:t>武东院字〔202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txbxContent>
                      </wps:txbx>
                      <wps:bodyPr lIns="0" tIns="0" rIns="0" bIns="0" upright="1"/>
                    </wps:wsp>
                  </a:graphicData>
                </a:graphic>
              </wp:anchor>
            </w:drawing>
          </mc:Choice>
          <mc:Fallback>
            <w:pict>
              <v:shape id="_x0000_s1026" o:spid="_x0000_s1026" o:spt="202" type="#_x0000_t202" style="position:absolute;left:0pt;margin-left:107.25pt;margin-top:5.85pt;height:31.45pt;width:212.85pt;z-index:251660288;mso-width-relative:page;mso-height-relative:page;" filled="f" stroked="f" coordsize="21600,21600" o:gfxdata="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PgldNgAAAAJAQAADwAAAAAAAAABACAAAAAiAAAAZHJzL2Rvd25yZXYueG1sUEsB&#10;AhQAFAAAAAgAh07iQH+is3a8AQAAcgMAAA4AAAAAAAAAAQAgAAAAJwEAAGRycy9lMm9Eb2MueG1s&#10;UEsFBgAAAAAGAAYAWQEAAFUFAAAAAA==&#10;">
                <v:fill on="f" focussize="0,0"/>
                <v:stroke on="f"/>
                <v:imagedata o:title=""/>
                <o:lock v:ext="edit" aspectratio="f"/>
                <v:textbox inset="0mm,0mm,0mm,0mm">
                  <w:txbxContent>
                    <w:p w14:paraId="6FC4BAF7">
                      <w:pPr>
                        <w:jc w:val="center"/>
                        <w:rPr>
                          <w:rFonts w:hint="eastAsia" w:ascii="仿宋_GB2312" w:eastAsia="仿宋_GB2312"/>
                          <w:sz w:val="32"/>
                          <w:szCs w:val="32"/>
                        </w:rPr>
                      </w:pPr>
                      <w:r>
                        <w:rPr>
                          <w:rFonts w:hint="eastAsia" w:ascii="仿宋_GB2312" w:eastAsia="仿宋_GB2312"/>
                          <w:sz w:val="32"/>
                          <w:szCs w:val="32"/>
                        </w:rPr>
                        <w:t>武东院字〔202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w:t>
                      </w:r>
                    </w:p>
                  </w:txbxContent>
                </v:textbox>
              </v:shape>
            </w:pict>
          </mc:Fallback>
        </mc:AlternateContent>
      </w:r>
    </w:p>
    <w:p w14:paraId="2DBE5E22">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kern w:val="0"/>
          <w:sz w:val="44"/>
          <w:szCs w:val="44"/>
        </w:rPr>
      </w:pPr>
    </w:p>
    <w:p w14:paraId="5A19D6EA">
      <w:pPr>
        <w:pStyle w:val="2"/>
        <w:keepNext w:val="0"/>
        <w:keepLines w:val="0"/>
        <w:pageBreakBefore w:val="0"/>
        <w:kinsoku/>
        <w:wordWrap/>
        <w:overflowPunct/>
        <w:topLinePunct w:val="0"/>
        <w:autoSpaceDE/>
        <w:autoSpaceDN/>
        <w:bidi w:val="0"/>
        <w:spacing w:after="0" w:line="500" w:lineRule="exact"/>
        <w:jc w:val="center"/>
        <w:textAlignment w:val="auto"/>
        <w:rPr>
          <w:rFonts w:hint="eastAsia"/>
        </w:rPr>
      </w:pPr>
    </w:p>
    <w:p w14:paraId="5C684601">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关于印发</w:t>
      </w:r>
    </w:p>
    <w:p w14:paraId="2FFC27B3">
      <w:pPr>
        <w:keepNext w:val="0"/>
        <w:keepLines w:val="0"/>
        <w:pageBreakBefore w:val="0"/>
        <w:widowControl/>
        <w:kinsoku/>
        <w:wordWrap/>
        <w:overflowPunct/>
        <w:topLinePunct w:val="0"/>
        <w:autoSpaceDE/>
        <w:autoSpaceDN/>
        <w:bidi w:val="0"/>
        <w:adjustRightInd w:val="0"/>
        <w:snapToGrid w:val="0"/>
        <w:spacing w:line="588" w:lineRule="exact"/>
        <w:jc w:val="center"/>
        <w:textAlignment w:val="auto"/>
        <w:rPr>
          <w:rFonts w:hint="default" w:ascii="华文中宋" w:hAnsi="华文中宋" w:eastAsia="华文中宋" w:cs="Times New Roman"/>
          <w:b w:val="0"/>
          <w:bCs/>
          <w:kern w:val="0"/>
          <w:sz w:val="44"/>
          <w:szCs w:val="44"/>
          <w:lang w:val="en-US"/>
        </w:rPr>
      </w:pPr>
      <w:r>
        <w:rPr>
          <w:rFonts w:hint="eastAsia" w:ascii="方正小标宋_GBK" w:hAnsi="方正小标宋_GBK" w:eastAsia="方正小标宋_GBK" w:cs="方正小标宋_GBK"/>
          <w:b w:val="0"/>
          <w:bCs/>
          <w:kern w:val="0"/>
          <w:sz w:val="44"/>
          <w:szCs w:val="44"/>
          <w:lang w:val="en-US" w:eastAsia="zh-CN"/>
        </w:rPr>
        <w:t>《</w:t>
      </w:r>
      <w:r>
        <w:rPr>
          <w:rFonts w:hint="eastAsia" w:ascii="方正小标宋_GBK" w:hAnsi="方正小标宋_GBK" w:eastAsia="方正小标宋_GBK" w:cs="方正小标宋_GBK"/>
          <w:b w:val="0"/>
          <w:bCs/>
          <w:kern w:val="0"/>
          <w:sz w:val="44"/>
          <w:szCs w:val="44"/>
        </w:rPr>
        <w:t>武汉东湖学院202</w:t>
      </w:r>
      <w:r>
        <w:rPr>
          <w:rFonts w:hint="eastAsia" w:ascii="方正小标宋_GBK" w:hAnsi="方正小标宋_GBK" w:eastAsia="方正小标宋_GBK" w:cs="方正小标宋_GBK"/>
          <w:b w:val="0"/>
          <w:bCs/>
          <w:kern w:val="0"/>
          <w:sz w:val="44"/>
          <w:szCs w:val="44"/>
          <w:lang w:val="en-US" w:eastAsia="zh-CN"/>
        </w:rPr>
        <w:t>3</w:t>
      </w:r>
      <w:r>
        <w:rPr>
          <w:rFonts w:hint="eastAsia" w:ascii="方正小标宋_GBK" w:hAnsi="方正小标宋_GBK" w:eastAsia="方正小标宋_GBK" w:cs="方正小标宋_GBK"/>
          <w:b w:val="0"/>
          <w:bCs/>
          <w:kern w:val="0"/>
          <w:sz w:val="44"/>
          <w:szCs w:val="44"/>
        </w:rPr>
        <w:t>年工作要点</w:t>
      </w:r>
      <w:r>
        <w:rPr>
          <w:rFonts w:hint="eastAsia" w:ascii="方正小标宋_GBK" w:hAnsi="方正小标宋_GBK" w:eastAsia="方正小标宋_GBK" w:cs="方正小标宋_GBK"/>
          <w:b w:val="0"/>
          <w:bCs/>
          <w:kern w:val="0"/>
          <w:sz w:val="44"/>
          <w:szCs w:val="44"/>
          <w:lang w:val="en-US" w:eastAsia="zh-CN"/>
        </w:rPr>
        <w:t>》的通知</w:t>
      </w:r>
    </w:p>
    <w:p w14:paraId="2982532A">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仿宋_GB2312" w:cs="Times New Roman"/>
          <w:b/>
          <w:kern w:val="0"/>
          <w:sz w:val="30"/>
          <w:szCs w:val="30"/>
        </w:rPr>
      </w:pPr>
    </w:p>
    <w:p w14:paraId="3293D119">
      <w:pPr>
        <w:keepNext w:val="0"/>
        <w:keepLines w:val="0"/>
        <w:pageBreakBefore w:val="0"/>
        <w:widowControl w:val="0"/>
        <w:kinsoku/>
        <w:wordWrap/>
        <w:overflowPunct/>
        <w:topLinePunct w:val="0"/>
        <w:autoSpaceDE/>
        <w:autoSpaceDN/>
        <w:bidi w:val="0"/>
        <w:adjustRightInd/>
        <w:snapToGrid/>
        <w:spacing w:line="588" w:lineRule="exact"/>
        <w:ind w:right="420"/>
        <w:jc w:val="left"/>
        <w:textAlignment w:val="auto"/>
        <w:rPr>
          <w:rFonts w:hint="eastAsia" w:ascii="仿宋_GB2312" w:hAnsi="Arial" w:eastAsia="仿宋_GB2312"/>
          <w:color w:val="000000"/>
          <w:sz w:val="32"/>
          <w:szCs w:val="32"/>
          <w:lang w:val="en-US" w:eastAsia="zh-CN"/>
        </w:rPr>
      </w:pPr>
      <w:r>
        <w:rPr>
          <w:rFonts w:hint="eastAsia" w:ascii="仿宋_GB2312" w:hAnsi="Arial" w:eastAsia="仿宋_GB2312"/>
          <w:color w:val="000000"/>
          <w:sz w:val="32"/>
          <w:szCs w:val="32"/>
          <w:lang w:val="en-US" w:eastAsia="zh-CN"/>
        </w:rPr>
        <w:t>各单位、各部门：</w:t>
      </w:r>
    </w:p>
    <w:p w14:paraId="77B5FC6B">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经学校研究决定，现将《武汉东湖学院2023年工作要点》印发给你们，请认真遵照执行。</w:t>
      </w:r>
    </w:p>
    <w:p w14:paraId="297E4139">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b w:val="0"/>
          <w:bCs/>
          <w:kern w:val="0"/>
          <w:sz w:val="32"/>
          <w:szCs w:val="32"/>
          <w:lang w:val="en-US" w:eastAsia="zh-CN"/>
        </w:rPr>
      </w:pPr>
    </w:p>
    <w:p w14:paraId="5710BCA0">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Times New Roman" w:hAnsi="Times New Roman" w:eastAsia="仿宋_GB2312" w:cs="Times New Roman"/>
          <w:b/>
          <w:kern w:val="0"/>
          <w:sz w:val="30"/>
          <w:szCs w:val="30"/>
          <w:lang w:val="en-US" w:eastAsia="zh-CN"/>
        </w:rPr>
      </w:pPr>
      <w:r>
        <w:rPr>
          <w:rFonts w:hint="eastAsia" w:ascii="仿宋_GB2312" w:hAnsi="仿宋_GB2312" w:eastAsia="仿宋_GB2312" w:cs="仿宋_GB2312"/>
          <w:b w:val="0"/>
          <w:bCs/>
          <w:kern w:val="0"/>
          <w:sz w:val="32"/>
          <w:szCs w:val="32"/>
          <w:lang w:val="en-US" w:eastAsia="zh-CN"/>
        </w:rPr>
        <w:t>附件：武汉东湖学院2023年工作要点</w:t>
      </w:r>
    </w:p>
    <w:p w14:paraId="230A1FBE">
      <w:pPr>
        <w:pStyle w:val="2"/>
        <w:keepNext w:val="0"/>
        <w:keepLines w:val="0"/>
        <w:pageBreakBefore w:val="0"/>
        <w:kinsoku/>
        <w:wordWrap/>
        <w:overflowPunct/>
        <w:topLinePunct w:val="0"/>
        <w:autoSpaceDE/>
        <w:autoSpaceDN/>
        <w:bidi w:val="0"/>
        <w:spacing w:after="0" w:line="588" w:lineRule="exact"/>
        <w:textAlignment w:val="auto"/>
        <w:rPr>
          <w:rFonts w:hint="eastAsia" w:ascii="Times New Roman" w:hAnsi="Times New Roman" w:eastAsia="仿宋_GB2312" w:cs="Times New Roman"/>
          <w:b/>
          <w:kern w:val="0"/>
          <w:sz w:val="30"/>
          <w:szCs w:val="30"/>
          <w:lang w:val="en-US" w:eastAsia="zh-CN"/>
        </w:rPr>
      </w:pPr>
    </w:p>
    <w:p w14:paraId="0310C26F">
      <w:pPr>
        <w:pStyle w:val="2"/>
        <w:keepNext w:val="0"/>
        <w:keepLines w:val="0"/>
        <w:pageBreakBefore w:val="0"/>
        <w:kinsoku/>
        <w:wordWrap/>
        <w:overflowPunct/>
        <w:topLinePunct w:val="0"/>
        <w:autoSpaceDE/>
        <w:autoSpaceDN/>
        <w:bidi w:val="0"/>
        <w:spacing w:after="0" w:line="588" w:lineRule="exact"/>
        <w:textAlignment w:val="auto"/>
        <w:rPr>
          <w:rFonts w:hint="eastAsia" w:ascii="Times New Roman" w:hAnsi="Times New Roman" w:eastAsia="仿宋_GB2312" w:cs="Times New Roman"/>
          <w:b/>
          <w:kern w:val="0"/>
          <w:sz w:val="30"/>
          <w:szCs w:val="30"/>
          <w:lang w:val="en-US" w:eastAsia="zh-CN"/>
        </w:rPr>
      </w:pPr>
    </w:p>
    <w:p w14:paraId="40C5C883">
      <w:pPr>
        <w:pStyle w:val="2"/>
        <w:keepNext w:val="0"/>
        <w:keepLines w:val="0"/>
        <w:pageBreakBefore w:val="0"/>
        <w:kinsoku/>
        <w:wordWrap/>
        <w:overflowPunct/>
        <w:topLinePunct w:val="0"/>
        <w:autoSpaceDE/>
        <w:autoSpaceDN/>
        <w:bidi w:val="0"/>
        <w:spacing w:after="0" w:line="588" w:lineRule="exact"/>
        <w:textAlignment w:val="auto"/>
        <w:rPr>
          <w:rFonts w:hint="eastAsia" w:ascii="仿宋_GB2312" w:hAnsi="仿宋_GB2312" w:eastAsia="仿宋_GB2312" w:cs="仿宋_GB2312"/>
          <w:b w:val="0"/>
          <w:bCs/>
          <w:kern w:val="0"/>
          <w:sz w:val="32"/>
          <w:szCs w:val="32"/>
          <w:lang w:val="en-US" w:eastAsia="zh-CN"/>
        </w:rPr>
      </w:pPr>
      <w:r>
        <w:rPr>
          <w:rFonts w:hint="eastAsia" w:ascii="Times New Roman" w:hAnsi="Times New Roman" w:eastAsia="仿宋_GB2312" w:cs="Times New Roman"/>
          <w:b/>
          <w:kern w:val="0"/>
          <w:sz w:val="30"/>
          <w:szCs w:val="30"/>
          <w:lang w:val="en-US" w:eastAsia="zh-CN"/>
        </w:rPr>
        <w:t xml:space="preserve">                  </w:t>
      </w:r>
      <w:r>
        <w:rPr>
          <w:rFonts w:hint="eastAsia" w:ascii="仿宋_GB2312" w:hAnsi="仿宋_GB2312" w:eastAsia="仿宋_GB2312" w:cs="仿宋_GB2312"/>
          <w:b w:val="0"/>
          <w:bCs/>
          <w:kern w:val="0"/>
          <w:sz w:val="32"/>
          <w:szCs w:val="32"/>
          <w:lang w:val="en-US" w:eastAsia="zh-CN"/>
        </w:rPr>
        <w:t xml:space="preserve">                </w:t>
      </w:r>
      <w:r>
        <w:rPr>
          <w:rFonts w:hint="default" w:ascii="Times New Roman" w:hAnsi="Times New Roman" w:eastAsia="仿宋_GB2312" w:cs="Times New Roman"/>
          <w:b w:val="0"/>
          <w:bCs/>
          <w:kern w:val="0"/>
          <w:sz w:val="32"/>
          <w:szCs w:val="32"/>
          <w:lang w:val="en-US" w:eastAsia="zh-CN"/>
        </w:rPr>
        <w:t>202</w:t>
      </w:r>
      <w:r>
        <w:rPr>
          <w:rFonts w:hint="eastAsia" w:ascii="Times New Roman" w:hAnsi="Times New Roman" w:eastAsia="仿宋_GB2312" w:cs="Times New Roman"/>
          <w:b w:val="0"/>
          <w:bCs/>
          <w:kern w:val="0"/>
          <w:sz w:val="32"/>
          <w:szCs w:val="32"/>
          <w:lang w:val="en-US" w:eastAsia="zh-CN"/>
        </w:rPr>
        <w:t>3</w:t>
      </w:r>
      <w:r>
        <w:rPr>
          <w:rFonts w:hint="eastAsia" w:ascii="仿宋_GB2312" w:hAnsi="仿宋_GB2312" w:eastAsia="仿宋_GB2312" w:cs="仿宋_GB2312"/>
          <w:b w:val="0"/>
          <w:bCs/>
          <w:kern w:val="0"/>
          <w:sz w:val="32"/>
          <w:szCs w:val="32"/>
          <w:lang w:val="en-US" w:eastAsia="zh-CN"/>
        </w:rPr>
        <w:t>年</w:t>
      </w:r>
      <w:r>
        <w:rPr>
          <w:rFonts w:hint="eastAsia" w:ascii="Times New Roman" w:hAnsi="Times New Roman" w:eastAsia="仿宋_GB2312" w:cs="Times New Roman"/>
          <w:b w:val="0"/>
          <w:bCs/>
          <w:kern w:val="0"/>
          <w:sz w:val="32"/>
          <w:szCs w:val="32"/>
          <w:lang w:val="en-US" w:eastAsia="zh-CN"/>
        </w:rPr>
        <w:t>2</w:t>
      </w:r>
      <w:r>
        <w:rPr>
          <w:rFonts w:hint="eastAsia" w:ascii="仿宋_GB2312" w:hAnsi="仿宋_GB2312" w:eastAsia="仿宋_GB2312" w:cs="仿宋_GB2312"/>
          <w:b w:val="0"/>
          <w:bCs/>
          <w:kern w:val="0"/>
          <w:sz w:val="32"/>
          <w:szCs w:val="32"/>
          <w:lang w:val="en-US" w:eastAsia="zh-CN"/>
        </w:rPr>
        <w:t>月</w:t>
      </w:r>
      <w:r>
        <w:rPr>
          <w:rFonts w:hint="eastAsia" w:ascii="Times New Roman" w:hAnsi="Times New Roman" w:eastAsia="仿宋_GB2312" w:cs="Times New Roman"/>
          <w:b w:val="0"/>
          <w:bCs/>
          <w:kern w:val="0"/>
          <w:sz w:val="32"/>
          <w:szCs w:val="32"/>
          <w:lang w:val="en-US" w:eastAsia="zh-CN"/>
        </w:rPr>
        <w:t>28</w:t>
      </w:r>
      <w:r>
        <w:rPr>
          <w:rFonts w:hint="eastAsia" w:ascii="仿宋_GB2312" w:hAnsi="仿宋_GB2312" w:eastAsia="仿宋_GB2312" w:cs="仿宋_GB2312"/>
          <w:b w:val="0"/>
          <w:bCs/>
          <w:kern w:val="0"/>
          <w:sz w:val="32"/>
          <w:szCs w:val="32"/>
          <w:lang w:val="en-US" w:eastAsia="zh-CN"/>
        </w:rPr>
        <w:t>日</w:t>
      </w:r>
    </w:p>
    <w:p w14:paraId="7FFAE9F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kern w:val="0"/>
          <w:sz w:val="44"/>
          <w:szCs w:val="44"/>
        </w:rPr>
        <w:sectPr>
          <w:footerReference r:id="rId3" w:type="default"/>
          <w:pgSz w:w="11906" w:h="16838"/>
          <w:pgMar w:top="2098" w:right="1531" w:bottom="1757" w:left="1531" w:header="851" w:footer="992" w:gutter="0"/>
          <w:pgNumType w:fmt="decimal"/>
          <w:cols w:space="425" w:num="1"/>
          <w:docGrid w:type="lines" w:linePitch="312" w:charSpace="0"/>
        </w:sectPr>
      </w:pPr>
    </w:p>
    <w:p w14:paraId="603618CF">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14:paraId="4A060F8F">
      <w:pPr>
        <w:keepNext w:val="0"/>
        <w:keepLines w:val="0"/>
        <w:pageBreakBefore w:val="0"/>
        <w:widowControl/>
        <w:kinsoku/>
        <w:wordWrap/>
        <w:overflowPunct/>
        <w:topLinePunct w:val="0"/>
        <w:autoSpaceDE/>
        <w:autoSpaceDN/>
        <w:bidi w:val="0"/>
        <w:adjustRightInd w:val="0"/>
        <w:snapToGrid w:val="0"/>
        <w:spacing w:after="157" w:afterLines="50" w:line="56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武汉东湖学院202</w:t>
      </w:r>
      <w:r>
        <w:rPr>
          <w:rFonts w:hint="eastAsia" w:ascii="方正小标宋_GBK" w:hAnsi="方正小标宋_GBK" w:eastAsia="方正小标宋_GBK" w:cs="方正小标宋_GBK"/>
          <w:b w:val="0"/>
          <w:bCs/>
          <w:kern w:val="0"/>
          <w:sz w:val="44"/>
          <w:szCs w:val="44"/>
          <w:lang w:eastAsia="zh-CN"/>
        </w:rPr>
        <w:t>3</w:t>
      </w:r>
      <w:r>
        <w:rPr>
          <w:rFonts w:hint="eastAsia" w:ascii="方正小标宋_GBK" w:hAnsi="方正小标宋_GBK" w:eastAsia="方正小标宋_GBK" w:cs="方正小标宋_GBK"/>
          <w:b w:val="0"/>
          <w:bCs/>
          <w:kern w:val="0"/>
          <w:sz w:val="44"/>
          <w:szCs w:val="44"/>
        </w:rPr>
        <w:t>年工作要点</w:t>
      </w:r>
    </w:p>
    <w:p w14:paraId="6B1EB0F5">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学校工作总体要求是：</w:t>
      </w:r>
      <w:bookmarkStart w:id="0" w:name="_Hlk88745100"/>
      <w:r>
        <w:rPr>
          <w:rFonts w:hint="eastAsia" w:ascii="仿宋_GB2312" w:hAnsi="仿宋_GB2312" w:eastAsia="仿宋_GB2312" w:cs="仿宋_GB2312"/>
          <w:kern w:val="0"/>
          <w:sz w:val="32"/>
          <w:szCs w:val="32"/>
          <w:lang w:val="en-US" w:eastAsia="zh-CN"/>
        </w:rPr>
        <w:t>坚持以习近平新时代中国特色社会主</w:t>
      </w:r>
      <w:r>
        <w:rPr>
          <w:rFonts w:hint="eastAsia" w:ascii="仿宋_GB2312" w:hAnsi="仿宋_GB2312" w:eastAsia="仿宋_GB2312" w:cs="仿宋_GB2312"/>
          <w:kern w:val="0"/>
          <w:sz w:val="32"/>
          <w:szCs w:val="32"/>
        </w:rPr>
        <w:t>义思想为指导</w:t>
      </w:r>
      <w:bookmarkEnd w:id="0"/>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深入学习贯彻党的二十大精神，</w:t>
      </w:r>
      <w:r>
        <w:rPr>
          <w:rFonts w:hint="eastAsia" w:ascii="仿宋_GB2312" w:hAnsi="仿宋_GB2312" w:eastAsia="仿宋_GB2312" w:cs="仿宋_GB2312"/>
          <w:kern w:val="0"/>
          <w:sz w:val="32"/>
          <w:szCs w:val="32"/>
        </w:rPr>
        <w:t>全面贯彻落实党的教育方针，落实立德树人根本任务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val="en-US" w:eastAsia="zh-CN"/>
        </w:rPr>
        <w:t>以全国先进基层党组织创建，审核评估促建，智慧校园提效为重点</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lang w:val="en-US" w:eastAsia="zh-CN"/>
        </w:rPr>
        <w:t>统筹做好武汉校区和嘉鱼教学改革基地（以下简称南校区）管理，全面深化教育教学评价和教师工作绩效管理改革，</w:t>
      </w:r>
      <w:r>
        <w:rPr>
          <w:rFonts w:hint="eastAsia" w:ascii="仿宋_GB2312" w:hAnsi="仿宋_GB2312" w:eastAsia="仿宋_GB2312" w:cs="仿宋_GB2312"/>
          <w:kern w:val="0"/>
          <w:sz w:val="32"/>
          <w:szCs w:val="32"/>
        </w:rPr>
        <w:t>着力推</w:t>
      </w:r>
      <w:r>
        <w:rPr>
          <w:rFonts w:hint="eastAsia" w:ascii="仿宋_GB2312" w:hAnsi="仿宋_GB2312" w:eastAsia="仿宋_GB2312" w:cs="仿宋_GB2312"/>
          <w:kern w:val="0"/>
          <w:sz w:val="32"/>
          <w:szCs w:val="32"/>
          <w:lang w:val="en-US" w:eastAsia="zh-CN"/>
        </w:rPr>
        <w:t>动</w:t>
      </w:r>
      <w:r>
        <w:rPr>
          <w:rFonts w:hint="eastAsia" w:ascii="仿宋_GB2312" w:hAnsi="仿宋_GB2312" w:eastAsia="仿宋_GB2312" w:cs="仿宋_GB2312"/>
          <w:kern w:val="0"/>
          <w:sz w:val="32"/>
          <w:szCs w:val="32"/>
        </w:rPr>
        <w:t>学校“十四五”规划各项工作任务</w:t>
      </w:r>
      <w:r>
        <w:rPr>
          <w:rFonts w:hint="eastAsia" w:ascii="仿宋_GB2312" w:hAnsi="仿宋_GB2312" w:eastAsia="仿宋_GB2312" w:cs="仿宋_GB2312"/>
          <w:kern w:val="0"/>
          <w:sz w:val="32"/>
          <w:szCs w:val="32"/>
          <w:lang w:val="en-US" w:eastAsia="zh-CN"/>
        </w:rPr>
        <w:t>落实</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加快推进“双一流”建设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为</w:t>
      </w:r>
      <w:r>
        <w:rPr>
          <w:rFonts w:hint="eastAsia" w:ascii="仿宋_GB2312" w:hAnsi="仿宋_GB2312" w:eastAsia="仿宋_GB2312" w:cs="仿宋_GB2312"/>
          <w:kern w:val="0"/>
          <w:sz w:val="32"/>
          <w:szCs w:val="32"/>
        </w:rPr>
        <w:t>实现</w:t>
      </w:r>
      <w:r>
        <w:rPr>
          <w:rFonts w:hint="eastAsia" w:ascii="仿宋_GB2312" w:hAnsi="仿宋_GB2312" w:eastAsia="仿宋_GB2312" w:cs="仿宋_GB2312"/>
          <w:kern w:val="0"/>
          <w:sz w:val="32"/>
          <w:szCs w:val="32"/>
          <w:lang w:val="en-US" w:eastAsia="zh-CN"/>
        </w:rPr>
        <w:t>特色鲜明的高水平应用型大学</w:t>
      </w:r>
      <w:r>
        <w:rPr>
          <w:rFonts w:hint="eastAsia" w:ascii="仿宋_GB2312" w:hAnsi="仿宋_GB2312" w:eastAsia="仿宋_GB2312" w:cs="仿宋_GB2312"/>
          <w:kern w:val="0"/>
          <w:sz w:val="32"/>
          <w:szCs w:val="32"/>
        </w:rPr>
        <w:t>奠定坚实的基础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办让党放心、让人民满意的教育。</w:t>
      </w:r>
    </w:p>
    <w:p w14:paraId="0351EC84">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一、</w:t>
      </w:r>
      <w:r>
        <w:rPr>
          <w:rFonts w:ascii="Times New Roman" w:hAnsi="Times New Roman" w:eastAsia="黑体" w:cs="Times New Roman"/>
          <w:kern w:val="0"/>
          <w:sz w:val="32"/>
          <w:szCs w:val="32"/>
        </w:rPr>
        <w:t>加强</w:t>
      </w:r>
      <w:r>
        <w:rPr>
          <w:rFonts w:hint="eastAsia" w:ascii="Times New Roman" w:hAnsi="Times New Roman" w:eastAsia="黑体" w:cs="Times New Roman"/>
          <w:kern w:val="0"/>
          <w:sz w:val="32"/>
          <w:szCs w:val="32"/>
        </w:rPr>
        <w:t>党的领导</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以高质量</w:t>
      </w:r>
      <w:r>
        <w:rPr>
          <w:rFonts w:ascii="Times New Roman" w:hAnsi="Times New Roman" w:eastAsia="黑体" w:cs="Times New Roman"/>
          <w:kern w:val="0"/>
          <w:sz w:val="32"/>
          <w:szCs w:val="32"/>
        </w:rPr>
        <w:t>党建</w:t>
      </w:r>
      <w:r>
        <w:rPr>
          <w:rFonts w:hint="eastAsia" w:ascii="Times New Roman" w:hAnsi="Times New Roman" w:eastAsia="黑体" w:cs="Times New Roman"/>
          <w:kern w:val="0"/>
          <w:sz w:val="32"/>
          <w:szCs w:val="32"/>
          <w:lang w:val="en-US" w:eastAsia="zh-CN"/>
        </w:rPr>
        <w:t>引领</w:t>
      </w:r>
      <w:r>
        <w:rPr>
          <w:rFonts w:hint="eastAsia" w:ascii="Times New Roman" w:hAnsi="Times New Roman" w:eastAsia="黑体" w:cs="Times New Roman"/>
          <w:kern w:val="0"/>
          <w:sz w:val="32"/>
          <w:szCs w:val="32"/>
        </w:rPr>
        <w:t>学校</w:t>
      </w:r>
      <w:r>
        <w:rPr>
          <w:rFonts w:hint="eastAsia" w:ascii="Times New Roman" w:hAnsi="Times New Roman" w:eastAsia="黑体" w:cs="Times New Roman"/>
          <w:kern w:val="0"/>
          <w:sz w:val="32"/>
          <w:szCs w:val="32"/>
          <w:lang w:val="en-US" w:eastAsia="zh-CN"/>
        </w:rPr>
        <w:t>事业</w:t>
      </w:r>
      <w:r>
        <w:rPr>
          <w:rFonts w:hint="eastAsia" w:ascii="Times New Roman" w:hAnsi="Times New Roman" w:eastAsia="黑体" w:cs="Times New Roman"/>
          <w:kern w:val="0"/>
          <w:sz w:val="32"/>
          <w:szCs w:val="32"/>
        </w:rPr>
        <w:t>高质量发展</w:t>
      </w:r>
    </w:p>
    <w:p w14:paraId="70C012D9">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rPr>
        <w:t>1.持续加强</w:t>
      </w:r>
      <w:r>
        <w:rPr>
          <w:rFonts w:hint="eastAsia" w:ascii="楷体_GB2312" w:hAnsi="楷体_GB2312" w:eastAsia="楷体_GB2312" w:cs="楷体_GB2312"/>
          <w:b/>
          <w:kern w:val="0"/>
          <w:sz w:val="32"/>
          <w:szCs w:val="32"/>
          <w:highlight w:val="none"/>
        </w:rPr>
        <w:t>思想理论武装</w:t>
      </w:r>
    </w:p>
    <w:p w14:paraId="6D9DE03A">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以“时代新人铸魂工程”实施为牵引，坚持</w:t>
      </w:r>
      <w:r>
        <w:rPr>
          <w:rFonts w:hint="eastAsia" w:ascii="Times New Roman" w:hAnsi="Times New Roman" w:eastAsia="仿宋_GB2312" w:cs="Times New Roman"/>
          <w:kern w:val="0"/>
          <w:sz w:val="32"/>
          <w:szCs w:val="32"/>
        </w:rPr>
        <w:t>以党的政治建设为统领，牢牢把握全面</w:t>
      </w:r>
      <w:r>
        <w:rPr>
          <w:rFonts w:hint="eastAsia" w:ascii="Times New Roman" w:hAnsi="Times New Roman" w:eastAsia="仿宋_GB2312" w:cs="Times New Roman"/>
          <w:kern w:val="0"/>
          <w:sz w:val="32"/>
          <w:szCs w:val="32"/>
          <w:lang w:val="en-US" w:eastAsia="zh-CN"/>
        </w:rPr>
        <w:t>学习</w:t>
      </w:r>
      <w:r>
        <w:rPr>
          <w:rFonts w:hint="eastAsia" w:ascii="Times New Roman" w:hAnsi="Times New Roman" w:eastAsia="仿宋_GB2312" w:cs="Times New Roman"/>
          <w:kern w:val="0"/>
          <w:sz w:val="32"/>
          <w:szCs w:val="32"/>
        </w:rPr>
        <w:t>贯彻落实党的二十大精神这条主线，</w:t>
      </w:r>
      <w:r>
        <w:rPr>
          <w:rFonts w:hint="eastAsia" w:ascii="Times New Roman" w:hAnsi="Times New Roman" w:eastAsia="仿宋_GB2312" w:cs="Times New Roman"/>
          <w:kern w:val="0"/>
          <w:sz w:val="32"/>
          <w:szCs w:val="32"/>
          <w:lang w:val="en-US" w:eastAsia="zh-CN"/>
        </w:rPr>
        <w:t>扎实开展主题教育，深入推进党的二十大精神进教材、进课堂、进头脑</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开好</w:t>
      </w:r>
      <w:bookmarkStart w:id="5" w:name="_GoBack"/>
      <w:r>
        <w:rPr>
          <w:rFonts w:hint="eastAsia" w:ascii="Times New Roman" w:hAnsi="Times New Roman" w:eastAsia="仿宋_GB2312" w:cs="Times New Roman"/>
          <w:kern w:val="0"/>
          <w:sz w:val="32"/>
          <w:szCs w:val="32"/>
          <w:lang w:val="en-US" w:eastAsia="zh-CN"/>
        </w:rPr>
        <w:t>《习近平新时代中国特色社会主义思想概论》</w:t>
      </w:r>
      <w:r>
        <w:rPr>
          <w:rFonts w:hint="eastAsia" w:ascii="Times New Roman" w:hAnsi="Times New Roman" w:eastAsia="仿宋_GB2312" w:cs="Times New Roman"/>
          <w:kern w:val="0"/>
          <w:sz w:val="32"/>
          <w:szCs w:val="32"/>
          <w:lang w:val="en-US" w:eastAsia="zh-CN"/>
        </w:rPr>
        <w:t>课，</w:t>
      </w:r>
      <w:bookmarkEnd w:id="5"/>
      <w:r>
        <w:rPr>
          <w:rFonts w:hint="eastAsia" w:ascii="Times New Roman" w:hAnsi="Times New Roman" w:eastAsia="仿宋_GB2312" w:cs="Times New Roman"/>
          <w:kern w:val="0"/>
          <w:sz w:val="32"/>
          <w:szCs w:val="32"/>
          <w:lang w:val="en-US" w:eastAsia="zh-CN"/>
        </w:rPr>
        <w:t>用好《习近平总书记教育重要论述讲义》《习近平新时代中国特色社会主义思想学生读本》。认真学习贯彻</w:t>
      </w:r>
      <w:r>
        <w:rPr>
          <w:rFonts w:hint="eastAsia" w:ascii="Times New Roman" w:hAnsi="Times New Roman" w:eastAsia="仿宋_GB2312" w:cs="Times New Roman"/>
          <w:kern w:val="0"/>
          <w:sz w:val="32"/>
          <w:szCs w:val="32"/>
        </w:rPr>
        <w:t>落实</w:t>
      </w:r>
      <w:r>
        <w:rPr>
          <w:rFonts w:hint="eastAsia" w:ascii="Times New Roman" w:hAnsi="Times New Roman" w:eastAsia="仿宋_GB2312" w:cs="Times New Roman"/>
          <w:kern w:val="0"/>
          <w:sz w:val="32"/>
          <w:szCs w:val="32"/>
          <w:lang w:val="en-US" w:eastAsia="zh-CN"/>
        </w:rPr>
        <w:t>习近平总书记重要指示批示和党中央、国务院重大决策部署，建立健全传达学习、调查研究、督促检查“三项机制”</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坚持“第一议题制度”，按照“一学一报”制度要求，抓好党委理论学习中心组学习，持续开展“学习二十大师生进基层”巡讲活动。</w:t>
      </w:r>
    </w:p>
    <w:p w14:paraId="40E1F13E">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default"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rPr>
        <w:t>2.</w:t>
      </w:r>
      <w:r>
        <w:rPr>
          <w:rFonts w:hint="eastAsia" w:ascii="楷体_GB2312" w:hAnsi="楷体_GB2312" w:eastAsia="楷体_GB2312" w:cs="楷体_GB2312"/>
          <w:b/>
          <w:kern w:val="0"/>
          <w:sz w:val="32"/>
          <w:szCs w:val="32"/>
          <w:lang w:val="en-US" w:eastAsia="zh-CN"/>
        </w:rPr>
        <w:t>持续推进党建质量创优</w:t>
      </w:r>
    </w:p>
    <w:p w14:paraId="39837048">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以教育部“全国党建示范高校”建设为牵引，持续推进党建示范创建和质量创优</w:t>
      </w:r>
      <w:r>
        <w:rPr>
          <w:rFonts w:hint="eastAsia" w:ascii="仿宋_GB2312" w:hAnsi="仿宋_GB2312" w:eastAsia="仿宋_GB2312" w:cs="仿宋_GB2312"/>
          <w:kern w:val="0"/>
          <w:sz w:val="32"/>
          <w:szCs w:val="32"/>
        </w:rPr>
        <w:t>，提升基层党组织组织功能和政治功能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巩固全国党建工作示范高校创建成果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扎实做好湖北省高校</w:t>
      </w:r>
      <w:r>
        <w:rPr>
          <w:rFonts w:hint="eastAsia" w:ascii="仿宋_GB2312" w:hAnsi="仿宋_GB2312" w:eastAsia="仿宋_GB2312" w:cs="仿宋_GB2312"/>
          <w:kern w:val="0"/>
          <w:sz w:val="32"/>
          <w:szCs w:val="32"/>
        </w:rPr>
        <w:t>党建工作标杆院系、样板</w:t>
      </w:r>
      <w:r>
        <w:rPr>
          <w:rFonts w:hint="eastAsia" w:ascii="仿宋_GB2312" w:hAnsi="仿宋_GB2312" w:eastAsia="仿宋_GB2312" w:cs="仿宋_GB2312"/>
          <w:kern w:val="0"/>
          <w:sz w:val="32"/>
          <w:szCs w:val="32"/>
          <w:lang w:val="en-US" w:eastAsia="zh-CN"/>
        </w:rPr>
        <w:t>党</w:t>
      </w:r>
      <w:r>
        <w:rPr>
          <w:rFonts w:hint="eastAsia" w:ascii="仿宋_GB2312" w:hAnsi="仿宋_GB2312" w:eastAsia="仿宋_GB2312" w:cs="仿宋_GB2312"/>
          <w:kern w:val="0"/>
          <w:sz w:val="32"/>
          <w:szCs w:val="32"/>
        </w:rPr>
        <w:t>支部</w:t>
      </w:r>
      <w:r>
        <w:rPr>
          <w:rFonts w:hint="eastAsia" w:ascii="仿宋_GB2312" w:hAnsi="仿宋_GB2312" w:eastAsia="仿宋_GB2312" w:cs="仿宋_GB2312"/>
          <w:kern w:val="0"/>
          <w:sz w:val="32"/>
          <w:szCs w:val="32"/>
          <w:lang w:val="en-US" w:eastAsia="zh-CN"/>
        </w:rPr>
        <w:t>考核验收工作</w:t>
      </w:r>
      <w:r>
        <w:rPr>
          <w:rFonts w:hint="eastAsia" w:ascii="仿宋_GB2312" w:hAnsi="仿宋_GB2312" w:eastAsia="仿宋_GB2312" w:cs="仿宋_GB2312"/>
          <w:kern w:val="0"/>
          <w:sz w:val="32"/>
          <w:szCs w:val="32"/>
          <w:lang w:eastAsia="zh-CN"/>
        </w:rPr>
        <w:t>。</w:t>
      </w:r>
    </w:p>
    <w:p w14:paraId="12A1965C">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贯彻落实</w:t>
      </w:r>
      <w:r>
        <w:rPr>
          <w:rFonts w:hint="eastAsia" w:ascii="仿宋_GB2312" w:hAnsi="仿宋_GB2312" w:eastAsia="仿宋_GB2312" w:cs="仿宋_GB2312"/>
          <w:kern w:val="0"/>
          <w:sz w:val="32"/>
          <w:szCs w:val="32"/>
        </w:rPr>
        <w:t>《中国共产党普通高等学校基层组织工作条例》《民办学校党建工作重点任务》</w:t>
      </w:r>
      <w:r>
        <w:rPr>
          <w:rFonts w:hint="eastAsia" w:ascii="仿宋_GB2312" w:hAnsi="仿宋_GB2312" w:eastAsia="仿宋_GB2312" w:cs="仿宋_GB2312"/>
          <w:kern w:val="0"/>
          <w:sz w:val="32"/>
          <w:szCs w:val="32"/>
          <w:lang w:eastAsia="zh-CN"/>
        </w:rPr>
        <w:t>、省委</w:t>
      </w:r>
      <w:r>
        <w:rPr>
          <w:rFonts w:hint="eastAsia" w:ascii="仿宋_GB2312" w:hAnsi="仿宋_GB2312" w:eastAsia="仿宋_GB2312" w:cs="仿宋_GB2312"/>
          <w:kern w:val="0"/>
          <w:sz w:val="32"/>
          <w:szCs w:val="32"/>
          <w:lang w:val="en-US" w:eastAsia="zh-CN"/>
        </w:rPr>
        <w:t>教育工委《关于推进高校党建与业务工作融合的若干意见》。坚持</w:t>
      </w:r>
      <w:r>
        <w:rPr>
          <w:rFonts w:hint="eastAsia" w:ascii="仿宋_GB2312" w:hAnsi="仿宋_GB2312" w:eastAsia="仿宋_GB2312" w:cs="仿宋_GB2312"/>
          <w:kern w:val="0"/>
          <w:sz w:val="32"/>
          <w:szCs w:val="32"/>
        </w:rPr>
        <w:t>支部主题党日和“三会一课”等工作制度，</w:t>
      </w:r>
      <w:r>
        <w:rPr>
          <w:rFonts w:hint="eastAsia" w:ascii="仿宋_GB2312" w:hAnsi="仿宋_GB2312" w:eastAsia="仿宋_GB2312" w:cs="仿宋_GB2312"/>
          <w:kern w:val="0"/>
          <w:sz w:val="32"/>
          <w:szCs w:val="32"/>
          <w:lang w:val="en-US" w:eastAsia="zh-CN"/>
        </w:rPr>
        <w:t>制定并落实学校《年度党的建设与思想政治工作任务清单》，落实《湖北民办高校领导班子成员任职备案管理办法》，按照新时期好干部标准，选优配齐基层党组织书记和组织员，培育学校“双带头人”教师党支部书记工作室和部省两级</w:t>
      </w:r>
      <w:r>
        <w:rPr>
          <w:rFonts w:hint="eastAsia" w:ascii="仿宋_GB2312" w:hAnsi="仿宋_GB2312" w:eastAsia="仿宋_GB2312" w:cs="仿宋_GB2312"/>
          <w:kern w:val="0"/>
          <w:sz w:val="32"/>
          <w:szCs w:val="32"/>
        </w:rPr>
        <w:t>思政工作精品项目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新增获批省级党建工作项目（成果）2项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国家级1项。加强党对工会、共青团和学生团体的领导。深化</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清廉校园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定期发布“三个提醒”（政治提醒、师德师风提醒、廉洁提醒），持之以恒加固</w:t>
      </w:r>
      <w:r>
        <w:rPr>
          <w:rFonts w:hint="eastAsia" w:ascii="仿宋_GB2312" w:hAnsi="仿宋_GB2312" w:eastAsia="仿宋_GB2312" w:cs="仿宋_GB2312"/>
          <w:kern w:val="0"/>
          <w:sz w:val="32"/>
          <w:szCs w:val="32"/>
          <w:lang w:val="en-US" w:eastAsia="zh-CN"/>
        </w:rPr>
        <w:t>反腐倡廉</w:t>
      </w:r>
      <w:r>
        <w:rPr>
          <w:rFonts w:hint="eastAsia" w:ascii="仿宋_GB2312" w:hAnsi="仿宋_GB2312" w:eastAsia="仿宋_GB2312" w:cs="仿宋_GB2312"/>
          <w:kern w:val="0"/>
          <w:sz w:val="32"/>
          <w:szCs w:val="32"/>
        </w:rPr>
        <w:t>堤坝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深化纠治“四风”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开展违规吃喝问题专项整治，重点增强</w:t>
      </w:r>
      <w:r>
        <w:rPr>
          <w:rFonts w:hint="eastAsia" w:ascii="仿宋_GB2312" w:hAnsi="仿宋_GB2312" w:eastAsia="仿宋_GB2312" w:cs="仿宋_GB2312"/>
          <w:kern w:val="0"/>
          <w:sz w:val="32"/>
          <w:szCs w:val="32"/>
          <w:lang w:eastAsia="zh-CN"/>
        </w:rPr>
        <w:t>对“一把手”和领导班子监督实效，</w:t>
      </w:r>
      <w:r>
        <w:rPr>
          <w:rFonts w:hint="eastAsia" w:ascii="仿宋_GB2312" w:hAnsi="仿宋_GB2312" w:eastAsia="仿宋_GB2312" w:cs="仿宋_GB2312"/>
          <w:kern w:val="0"/>
          <w:sz w:val="32"/>
          <w:szCs w:val="32"/>
          <w:lang w:val="en-US" w:eastAsia="zh-CN"/>
        </w:rPr>
        <w:t>切实加强对年轻干部的管理教育和监督。</w:t>
      </w:r>
      <w:r>
        <w:rPr>
          <w:rFonts w:hint="eastAsia" w:ascii="仿宋_GB2312" w:hAnsi="仿宋_GB2312" w:eastAsia="仿宋_GB2312" w:cs="仿宋_GB2312"/>
          <w:kern w:val="0"/>
          <w:sz w:val="32"/>
          <w:szCs w:val="32"/>
          <w:lang w:eastAsia="zh-CN"/>
        </w:rPr>
        <w:t>做好驻村乡村振兴定点帮扶</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lang w:eastAsia="zh-CN"/>
        </w:rPr>
        <w:t>。</w:t>
      </w:r>
    </w:p>
    <w:p w14:paraId="757FA884">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rPr>
        <w:t>3.</w:t>
      </w:r>
      <w:r>
        <w:rPr>
          <w:rFonts w:hint="eastAsia" w:ascii="楷体_GB2312" w:hAnsi="楷体_GB2312" w:eastAsia="楷体_GB2312" w:cs="楷体_GB2312"/>
          <w:b/>
          <w:kern w:val="0"/>
          <w:sz w:val="32"/>
          <w:szCs w:val="32"/>
          <w:lang w:val="en-US" w:eastAsia="zh-CN"/>
        </w:rPr>
        <w:t>持续推进</w:t>
      </w:r>
      <w:r>
        <w:rPr>
          <w:rFonts w:hint="eastAsia" w:ascii="楷体_GB2312" w:hAnsi="楷体_GB2312" w:eastAsia="楷体_GB2312" w:cs="楷体_GB2312"/>
          <w:b/>
          <w:kern w:val="0"/>
          <w:sz w:val="32"/>
          <w:szCs w:val="32"/>
        </w:rPr>
        <w:t>思想政治工作</w:t>
      </w:r>
      <w:r>
        <w:rPr>
          <w:rFonts w:hint="eastAsia" w:ascii="楷体_GB2312" w:hAnsi="楷体_GB2312" w:eastAsia="楷体_GB2312" w:cs="楷体_GB2312"/>
          <w:b/>
          <w:kern w:val="0"/>
          <w:sz w:val="32"/>
          <w:szCs w:val="32"/>
          <w:lang w:val="en-US" w:eastAsia="zh-CN"/>
        </w:rPr>
        <w:t>创新</w:t>
      </w:r>
    </w:p>
    <w:p w14:paraId="59B9EF06">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sz w:val="32"/>
          <w:szCs w:val="32"/>
          <w:lang w:val="en-US" w:eastAsia="zh-CN"/>
        </w:rPr>
      </w:pPr>
      <w:bookmarkStart w:id="1" w:name="_Hlk84926356"/>
      <w:r>
        <w:rPr>
          <w:rFonts w:hint="eastAsia" w:ascii="Times New Roman" w:hAnsi="Times New Roman" w:eastAsia="仿宋_GB2312" w:cs="Times New Roman"/>
          <w:kern w:val="0"/>
          <w:sz w:val="32"/>
          <w:szCs w:val="32"/>
          <w:lang w:val="en-US" w:eastAsia="zh-CN"/>
        </w:rPr>
        <w:t>以教育部“一站式”学生社区综合管理模式建设试点工作为牵引，持续推进思想政治工作体系创新。</w:t>
      </w:r>
      <w:r>
        <w:rPr>
          <w:rFonts w:hint="eastAsia" w:ascii="Times New Roman" w:hAnsi="Times New Roman" w:eastAsia="仿宋_GB2312" w:cs="Times New Roman"/>
          <w:strike w:val="0"/>
          <w:dstrike w:val="0"/>
          <w:kern w:val="0"/>
          <w:sz w:val="32"/>
          <w:szCs w:val="32"/>
          <w:lang w:val="en-US" w:eastAsia="zh-CN"/>
        </w:rPr>
        <w:t>以“立德树人”为思想统领，完善</w:t>
      </w:r>
      <w:r>
        <w:rPr>
          <w:rFonts w:hint="eastAsia" w:ascii="Times New Roman" w:hAnsi="Times New Roman" w:eastAsia="仿宋_GB2312" w:cs="Times New Roman"/>
          <w:strike w:val="0"/>
          <w:dstrike w:val="0"/>
          <w:kern w:val="0"/>
          <w:sz w:val="32"/>
          <w:szCs w:val="32"/>
          <w:lang w:eastAsia="zh-CN"/>
        </w:rPr>
        <w:t>“</w:t>
      </w:r>
      <w:r>
        <w:rPr>
          <w:rFonts w:hint="eastAsia" w:ascii="Times New Roman" w:hAnsi="Times New Roman" w:eastAsia="仿宋_GB2312" w:cs="Times New Roman"/>
          <w:strike w:val="0"/>
          <w:dstrike w:val="0"/>
          <w:kern w:val="0"/>
          <w:sz w:val="32"/>
          <w:szCs w:val="32"/>
          <w:lang w:val="en-US" w:eastAsia="zh-CN"/>
        </w:rPr>
        <w:t>三全育人</w:t>
      </w:r>
      <w:r>
        <w:rPr>
          <w:rFonts w:hint="eastAsia" w:ascii="Times New Roman" w:hAnsi="Times New Roman" w:eastAsia="仿宋_GB2312" w:cs="Times New Roman"/>
          <w:strike w:val="0"/>
          <w:dstrike w:val="0"/>
          <w:kern w:val="0"/>
          <w:sz w:val="32"/>
          <w:szCs w:val="32"/>
          <w:lang w:eastAsia="zh-CN"/>
        </w:rPr>
        <w:t>”</w:t>
      </w:r>
      <w:r>
        <w:rPr>
          <w:rFonts w:hint="eastAsia" w:ascii="Times New Roman" w:hAnsi="Times New Roman" w:eastAsia="仿宋_GB2312" w:cs="Times New Roman"/>
          <w:strike w:val="0"/>
          <w:dstrike w:val="0"/>
          <w:kern w:val="0"/>
          <w:sz w:val="32"/>
          <w:szCs w:val="32"/>
        </w:rPr>
        <w:t>工作</w:t>
      </w:r>
      <w:r>
        <w:rPr>
          <w:rFonts w:hint="eastAsia" w:ascii="Times New Roman" w:hAnsi="Times New Roman" w:eastAsia="仿宋_GB2312" w:cs="Times New Roman"/>
          <w:strike w:val="0"/>
          <w:dstrike w:val="0"/>
          <w:kern w:val="0"/>
          <w:sz w:val="32"/>
          <w:szCs w:val="32"/>
          <w:lang w:val="en-US" w:eastAsia="zh-CN"/>
        </w:rPr>
        <w:t>格局，建立对教师、学生出现思想政治、道德品质等负面问题及时发现和妥当处置机制</w:t>
      </w:r>
      <w:bookmarkStart w:id="2" w:name="_Hlk91250021"/>
      <w:r>
        <w:rPr>
          <w:rFonts w:hint="eastAsia" w:ascii="Times New Roman" w:hAnsi="Times New Roman" w:eastAsia="仿宋_GB2312" w:cs="Times New Roman"/>
          <w:strike w:val="0"/>
          <w:dstrike w:val="0"/>
          <w:kern w:val="0"/>
          <w:sz w:val="32"/>
          <w:szCs w:val="32"/>
          <w:lang w:val="en-US" w:eastAsia="zh-CN"/>
        </w:rPr>
        <w:t>，实施党员教师、辅导</w:t>
      </w:r>
      <w:r>
        <w:rPr>
          <w:rFonts w:hint="eastAsia" w:ascii="Times New Roman" w:hAnsi="Times New Roman" w:eastAsia="仿宋_GB2312" w:cs="Times New Roman"/>
          <w:strike w:val="0"/>
          <w:dstrike w:val="0"/>
          <w:color w:val="auto"/>
          <w:kern w:val="0"/>
          <w:sz w:val="32"/>
          <w:szCs w:val="32"/>
          <w:lang w:val="en-US" w:eastAsia="zh-CN"/>
        </w:rPr>
        <w:t>员家校协</w:t>
      </w:r>
      <w:r>
        <w:rPr>
          <w:rFonts w:hint="eastAsia" w:ascii="Times New Roman" w:hAnsi="Times New Roman" w:eastAsia="仿宋_GB2312" w:cs="Times New Roman"/>
          <w:strike w:val="0"/>
          <w:dstrike w:val="0"/>
          <w:kern w:val="0"/>
          <w:sz w:val="32"/>
          <w:szCs w:val="32"/>
          <w:lang w:val="en-US" w:eastAsia="zh-CN"/>
        </w:rPr>
        <w:t>同育人行动。</w:t>
      </w:r>
      <w:bookmarkEnd w:id="2"/>
      <w:r>
        <w:rPr>
          <w:rFonts w:hint="eastAsia" w:ascii="Times New Roman" w:hAnsi="Times New Roman" w:eastAsia="仿宋_GB2312" w:cs="Times New Roman"/>
          <w:kern w:val="0"/>
          <w:sz w:val="32"/>
          <w:szCs w:val="32"/>
          <w:lang w:val="en-US" w:eastAsia="zh-CN"/>
        </w:rPr>
        <w:t>深入探索学生社区“六五五”（六个维度、五种力量、五育并举）特色管理模式，按照“四地”建设功能要求，将学校“一站式”学生社区综合管理模式打造成“湖北样板、全国标杆”</w:t>
      </w:r>
      <w:r>
        <w:rPr>
          <w:rFonts w:hint="eastAsia" w:ascii="Times New Roman" w:hAnsi="Times New Roman" w:eastAsia="仿宋_GB2312" w:cs="Times New Roman"/>
          <w:b w:val="0"/>
          <w:bCs w:val="0"/>
          <w:kern w:val="0"/>
          <w:sz w:val="32"/>
          <w:szCs w:val="32"/>
          <w:lang w:val="en-US" w:eastAsia="zh-CN"/>
        </w:rPr>
        <w:t>，顺利通过教育部验收</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kern w:val="0"/>
          <w:sz w:val="32"/>
          <w:szCs w:val="32"/>
          <w:lang w:eastAsia="zh-CN"/>
        </w:rPr>
        <w:t>办好新时代“大思政课”，</w:t>
      </w:r>
      <w:r>
        <w:rPr>
          <w:rFonts w:hint="eastAsia" w:ascii="Times New Roman" w:hAnsi="Times New Roman" w:eastAsia="仿宋_GB2312" w:cs="Times New Roman"/>
          <w:kern w:val="0"/>
          <w:sz w:val="32"/>
          <w:szCs w:val="32"/>
          <w:lang w:val="en-US" w:eastAsia="zh-CN"/>
        </w:rPr>
        <w:t>进一步拓展“大思政课”实践教学基地，申报省级“大思政课”综合改革示范校</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深化课程思政改革创新，发挥课程思政研究示范中心作用，评选课程思政示范课和教学名师、教学团队。落实意识形态工作责任制和网络意识形态工作责任制</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加强各类阵地管理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强化意识形态领域常态化研判，积极参与全国大学生网络文化节和全国高校网络教育优秀作品推选展示活动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讲好东湖故事，为学校发展提供良好的舆论氛围。</w:t>
      </w:r>
      <w:bookmarkEnd w:id="1"/>
    </w:p>
    <w:p w14:paraId="66F6C012">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4</w:t>
      </w:r>
      <w:r>
        <w:rPr>
          <w:rFonts w:hint="eastAsia" w:ascii="楷体_GB2312" w:hAnsi="楷体_GB2312" w:eastAsia="楷体_GB2312" w:cs="楷体_GB2312"/>
          <w:b/>
          <w:kern w:val="0"/>
          <w:sz w:val="32"/>
          <w:szCs w:val="32"/>
        </w:rPr>
        <w:t>.</w:t>
      </w:r>
      <w:r>
        <w:rPr>
          <w:rFonts w:hint="eastAsia" w:ascii="楷体_GB2312" w:hAnsi="楷体_GB2312" w:eastAsia="楷体_GB2312" w:cs="楷体_GB2312"/>
          <w:b/>
          <w:kern w:val="0"/>
          <w:sz w:val="32"/>
          <w:szCs w:val="32"/>
          <w:lang w:val="en-US" w:eastAsia="zh-CN"/>
        </w:rPr>
        <w:t>持续推进重点马克思主义学院创建</w:t>
      </w:r>
    </w:p>
    <w:p w14:paraId="1C366DB4">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hint="default" w:ascii="仿宋_GB2312" w:hAnsi="仿宋_GB2312" w:eastAsia="仿宋_GB2312" w:cs="仿宋_GB2312"/>
          <w:color w:val="auto"/>
          <w:sz w:val="32"/>
          <w:szCs w:val="32"/>
          <w:highlight w:val="none"/>
          <w:u w:val="none"/>
          <w:lang w:val="en-US" w:eastAsia="zh-CN"/>
        </w:rPr>
      </w:pPr>
      <w:r>
        <w:rPr>
          <w:rFonts w:hint="eastAsia" w:ascii="Times New Roman" w:hAnsi="Times New Roman" w:eastAsia="仿宋_GB2312" w:cs="Times New Roman"/>
          <w:kern w:val="0"/>
          <w:sz w:val="32"/>
          <w:szCs w:val="32"/>
          <w:lang w:val="en-US" w:eastAsia="zh-CN" w:bidi="ar-SA"/>
        </w:rPr>
        <w:t>以教育部高校思想政治工作创新发展中心建设为牵引，贯彻落实中央《关于深化新时代学校思想政治理论课改革创新的若干意见》精神，持续推进以思想政治理论课教学改革为突破口的重点马克思主义学院创建。充分发挥思想政治理论课在大学生思想政治工作中的主渠道主阵地作用和铸魂功能，坚持立德树人，不断提升教学内涵，丰富教学内容，创新教学方式，拓展教学实践，注重教学实效，优化师资结构，加强组织领导，完善保障机制，努力建设高水平的马克思主义学院。切实保障马克思主义学院建设发展经费，足额落实专项经费。深入开展科学研究，着力提升武汉东湖学院思政课教师学术影响力，完善“四审一免”（审题目、审提纲、审初稿、审终稿；免打印复印费）制度，争取获批国家级项目。积极申报湖北省教育厅“高等学校人文社会科</w:t>
      </w:r>
      <w:r>
        <w:rPr>
          <w:rFonts w:hint="eastAsia" w:ascii="仿宋_GB2312" w:hAnsi="仿宋_GB2312" w:eastAsia="仿宋_GB2312" w:cs="仿宋_GB2312"/>
          <w:color w:val="auto"/>
          <w:sz w:val="32"/>
          <w:szCs w:val="32"/>
          <w:highlight w:val="none"/>
          <w:u w:val="none"/>
          <w:lang w:val="en-US" w:eastAsia="zh-CN"/>
        </w:rPr>
        <w:t>学重点研究基地”，获批湖北省重点马克思主义学院（或湖北省示范思想政治理论课教学基地）。</w:t>
      </w:r>
    </w:p>
    <w:p w14:paraId="44D0CCAC">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5.持续推进“六好”文明校园建设</w:t>
      </w:r>
    </w:p>
    <w:p w14:paraId="0D5C9985">
      <w:pPr>
        <w:pStyle w:val="2"/>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bidi="ar-SA"/>
        </w:rPr>
        <w:t>以“全国文明校园”建设为牵引，持续推进“六好”文明校园建设。以建设优良的校风、师风、学风为核心，推动学校精神文化、环境文化、制度文化、行为文化、网络文化等各类文化协调发展，凝炼具有武汉东湖学院鲜明特色的“党建、感恩、自强、创新、敬业”的校园文化元素，为培养担当民族复兴大任的时代新人提供有力的精神文化支撑与思想保障。开展“全国文明校园”创建活动，申报获批“全国文明校园”。擦亮校园文化“四节”和“一院一品”特色</w:t>
      </w:r>
      <w:r>
        <w:rPr>
          <w:rFonts w:hint="eastAsia" w:ascii="Times New Roman" w:hAnsi="Times New Roman" w:eastAsia="仿宋_GB2312" w:cs="Times New Roman"/>
          <w:kern w:val="0"/>
          <w:sz w:val="32"/>
          <w:szCs w:val="32"/>
        </w:rPr>
        <w:t>文化活动品牌</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探索第二课堂成绩单制度，营造浓厚的校园科技文化氛围。继续开展以“亮身份、树形象，亮工作、增效率，亮服务、创业绩”为主题的“七大先锋岗”评选活动，开展“青春使命”“技能成才强国有我”等主题教育活动。健全南校区团学组织，组织好校园文化活动和文化建设。</w:t>
      </w:r>
    </w:p>
    <w:p w14:paraId="614ABBC6">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rPr>
        <w:t>二、对标审核评估要求，</w:t>
      </w:r>
      <w:r>
        <w:rPr>
          <w:rFonts w:hint="eastAsia" w:ascii="Times New Roman" w:hAnsi="Times New Roman" w:eastAsia="黑体" w:cs="Times New Roman"/>
          <w:kern w:val="0"/>
          <w:sz w:val="32"/>
          <w:szCs w:val="32"/>
          <w:lang w:val="en-US" w:eastAsia="zh-CN"/>
        </w:rPr>
        <w:t>提升</w:t>
      </w:r>
      <w:r>
        <w:rPr>
          <w:rFonts w:hint="eastAsia" w:ascii="Times New Roman" w:hAnsi="Times New Roman" w:eastAsia="黑体" w:cs="Times New Roman"/>
          <w:kern w:val="0"/>
          <w:sz w:val="32"/>
          <w:szCs w:val="32"/>
        </w:rPr>
        <w:t>教育</w:t>
      </w:r>
      <w:r>
        <w:rPr>
          <w:rFonts w:ascii="Times New Roman" w:hAnsi="Times New Roman" w:eastAsia="黑体" w:cs="Times New Roman"/>
          <w:kern w:val="0"/>
          <w:sz w:val="32"/>
          <w:szCs w:val="32"/>
        </w:rPr>
        <w:t>教学质量</w:t>
      </w:r>
      <w:r>
        <w:rPr>
          <w:rFonts w:hint="eastAsia" w:ascii="Times New Roman" w:hAnsi="Times New Roman" w:eastAsia="仿宋_GB2312" w:cs="Times New Roman"/>
          <w:kern w:val="0"/>
          <w:sz w:val="32"/>
          <w:szCs w:val="32"/>
          <w:highlight w:val="none"/>
          <w:lang w:val="en-US" w:eastAsia="zh-CN"/>
        </w:rPr>
        <w:t xml:space="preserve"> </w:t>
      </w:r>
    </w:p>
    <w:p w14:paraId="21AB0669">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6.全面推进审核评估促建</w:t>
      </w:r>
    </w:p>
    <w:p w14:paraId="57713917">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kern w:val="0"/>
          <w:sz w:val="32"/>
          <w:szCs w:val="32"/>
          <w:lang w:val="en-US" w:eastAsia="zh-CN"/>
        </w:rPr>
        <w:t>全面进入审核评估时间，全面启动评估工作机制。</w:t>
      </w:r>
      <w:r>
        <w:rPr>
          <w:rFonts w:hint="eastAsia" w:ascii="仿宋_GB2312" w:hAnsi="仿宋_GB2312" w:eastAsia="仿宋_GB2312" w:cs="仿宋_GB2312"/>
          <w:kern w:val="0"/>
          <w:sz w:val="32"/>
          <w:szCs w:val="32"/>
        </w:rPr>
        <w:t>以评估理念引领改革、以评估举措落实改革、以评估标准检验改革</w:t>
      </w:r>
      <w:r>
        <w:rPr>
          <w:rFonts w:hint="eastAsia" w:ascii="仿宋_GB2312" w:hAnsi="仿宋_GB2312" w:eastAsia="仿宋_GB2312" w:cs="仿宋_GB2312"/>
          <w:kern w:val="0"/>
          <w:sz w:val="32"/>
          <w:szCs w:val="32"/>
          <w:lang w:val="en-US" w:eastAsia="zh-CN"/>
        </w:rPr>
        <w:t>，助推学校内涵发展、特色发展、创新发展</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一是对标教育部《普通高等学校本科教育教学审核评估实施方案（2021-2025年）》、新时代本科教育质量要求以及全国同类高校常模值，拟定《自评自建工作实施方案》，选定“特色可选项”指标模块，按二级指标和审核重点明确建设进度和任务分工，逐月督查督办和检查推进。二是全面排查教学过程中的薄弱环节和关键性问题，形成《问题清单》。三是“走出去”“请进来”“动起来”，组织研学教育部《审核评估实施方案》《审核评估精要导读》《审核评估高校评建改工作指南（试用稿）》，开展校院两级评估专题培训和试点评估高校学习考察。</w:t>
      </w:r>
    </w:p>
    <w:p w14:paraId="270C98EC">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7.推进本科教育提质创新发展</w:t>
      </w:r>
    </w:p>
    <w:p w14:paraId="5812C2CC">
      <w:pPr>
        <w:keepNext w:val="0"/>
        <w:keepLines w:val="0"/>
        <w:pageBreakBefore w:val="0"/>
        <w:widowControl/>
        <w:kinsoku/>
        <w:wordWrap/>
        <w:overflowPunct/>
        <w:topLinePunct w:val="0"/>
        <w:autoSpaceDE/>
        <w:autoSpaceDN/>
        <w:bidi w:val="0"/>
        <w:spacing w:line="588" w:lineRule="exact"/>
        <w:ind w:firstLine="561"/>
        <w:jc w:val="both"/>
        <w:textAlignment w:val="auto"/>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lang w:val="en-US" w:eastAsia="zh-CN"/>
        </w:rPr>
        <w:t>深入贯彻落实“学生中心、成果导向、持续改进”的人才培养理念，深入贯彻落实专业类教学质量国家标准和专业认证标准，实施</w:t>
      </w:r>
      <w:r>
        <w:rPr>
          <w:rFonts w:hint="eastAsia" w:ascii="仿宋_GB2312" w:hAnsi="仿宋_GB2312" w:eastAsia="仿宋_GB2312" w:cs="仿宋_GB2312"/>
          <w:kern w:val="0"/>
          <w:sz w:val="32"/>
          <w:szCs w:val="32"/>
        </w:rPr>
        <w:t>《人才培养方案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》。优化学科专业布局，</w:t>
      </w:r>
      <w:r>
        <w:rPr>
          <w:rFonts w:hint="eastAsia" w:ascii="仿宋_GB2312" w:hAnsi="仿宋_GB2312" w:eastAsia="仿宋_GB2312" w:cs="仿宋_GB2312"/>
          <w:kern w:val="0"/>
          <w:sz w:val="32"/>
          <w:szCs w:val="32"/>
          <w:lang w:val="en-US" w:eastAsia="zh-CN"/>
        </w:rPr>
        <w:t>按照“存量升级、增量优化、余量消减”原则，</w:t>
      </w:r>
      <w:r>
        <w:rPr>
          <w:rFonts w:hint="eastAsia" w:ascii="仿宋_GB2312" w:hAnsi="仿宋_GB2312" w:eastAsia="仿宋_GB2312" w:cs="仿宋_GB2312"/>
          <w:kern w:val="0"/>
          <w:sz w:val="32"/>
          <w:szCs w:val="32"/>
        </w:rPr>
        <w:t>完善学科专业动态调整机制，</w:t>
      </w:r>
      <w:r>
        <w:rPr>
          <w:rFonts w:hint="eastAsia" w:ascii="仿宋_GB2312" w:hAnsi="仿宋_GB2312" w:eastAsia="仿宋_GB2312" w:cs="仿宋_GB2312"/>
          <w:kern w:val="0"/>
          <w:sz w:val="32"/>
          <w:szCs w:val="32"/>
          <w:lang w:val="en-US" w:eastAsia="zh-CN"/>
        </w:rPr>
        <w:t>以招生就业数据、培养质量、师资队伍、实验条件等为依据，加大本专科专业调整和学科交叉融合力度，推动新工科、新文科建设再深化、再拓展、再突破、再出发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升级</w:t>
      </w:r>
      <w:r>
        <w:rPr>
          <w:rFonts w:hint="eastAsia" w:ascii="仿宋_GB2312" w:hAnsi="仿宋_GB2312" w:eastAsia="仿宋_GB2312" w:cs="仿宋_GB2312"/>
          <w:kern w:val="0"/>
          <w:sz w:val="32"/>
          <w:szCs w:val="32"/>
        </w:rPr>
        <w:t>改造传统专业，</w:t>
      </w:r>
      <w:r>
        <w:rPr>
          <w:rFonts w:hint="eastAsia" w:ascii="仿宋_GB2312" w:hAnsi="仿宋_GB2312" w:eastAsia="仿宋_GB2312" w:cs="仿宋_GB2312"/>
          <w:kern w:val="0"/>
          <w:sz w:val="32"/>
          <w:szCs w:val="32"/>
          <w:lang w:val="en-US" w:eastAsia="zh-CN"/>
        </w:rPr>
        <w:t>停招</w:t>
      </w:r>
      <w:r>
        <w:rPr>
          <w:rFonts w:hint="eastAsia" w:ascii="仿宋_GB2312" w:hAnsi="仿宋_GB2312" w:eastAsia="仿宋_GB2312" w:cs="仿宋_GB2312"/>
          <w:kern w:val="0"/>
          <w:sz w:val="32"/>
          <w:szCs w:val="32"/>
        </w:rPr>
        <w:t>生源不足、就业率低</w:t>
      </w:r>
      <w:r>
        <w:rPr>
          <w:rFonts w:hint="eastAsia" w:ascii="仿宋_GB2312" w:hAnsi="仿宋_GB2312" w:eastAsia="仿宋_GB2312" w:cs="仿宋_GB2312"/>
          <w:kern w:val="0"/>
          <w:sz w:val="32"/>
          <w:szCs w:val="32"/>
          <w:lang w:val="en-US" w:eastAsia="zh-CN"/>
        </w:rPr>
        <w:t>的专业；做强主干专业，打造特色优势专业，加大现有2个国家级、12个省级一流本科专业建设点的投入。</w:t>
      </w:r>
      <w:r>
        <w:rPr>
          <w:rFonts w:hint="eastAsia" w:ascii="仿宋_GB2312" w:hAnsi="仿宋_GB2312" w:eastAsia="仿宋_GB2312" w:cs="仿宋_GB2312"/>
          <w:kern w:val="0"/>
          <w:sz w:val="32"/>
          <w:szCs w:val="32"/>
        </w:rPr>
        <w:t>加强基层教学组织建设，形成省、校两级基层教学组织分层建设体系，组织对现有省级基层教学组织的中期检查。对标一流课程标准建设课程，进一步加大现有</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4门省级、60门校级一流课程建设力度，</w:t>
      </w:r>
      <w:r>
        <w:rPr>
          <w:rFonts w:hint="eastAsia" w:ascii="仿宋_GB2312" w:hAnsi="仿宋_GB2312" w:eastAsia="仿宋_GB2312" w:cs="仿宋_GB2312"/>
          <w:kern w:val="0"/>
          <w:sz w:val="32"/>
          <w:szCs w:val="32"/>
          <w:lang w:val="en-US" w:eastAsia="zh-CN"/>
        </w:rPr>
        <w:t>密切跟踪国家一流课程评审进度，力争取得国家级一流课程的突破。</w:t>
      </w:r>
      <w:r>
        <w:rPr>
          <w:rFonts w:hint="eastAsia" w:ascii="仿宋_GB2312" w:hAnsi="仿宋_GB2312" w:eastAsia="仿宋_GB2312" w:cs="仿宋_GB2312"/>
          <w:kern w:val="0"/>
          <w:sz w:val="32"/>
          <w:szCs w:val="32"/>
        </w:rPr>
        <w:t>加强线上课程（平台）的引进和利用，重点建设一批线上线下混合课程、社会实践课程和虚拟仿真实验教学课程，做好课程网站等级保护测评。开展国际交流合作，保持实际运行的合作项目数不少于1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个，参加境外学习交流学生不少于100人次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中外联合办学专业出国就读不少于10人。</w:t>
      </w:r>
      <w:r>
        <w:rPr>
          <w:rFonts w:hint="eastAsia" w:ascii="仿宋_GB2312" w:hAnsi="仿宋_GB2312" w:eastAsia="仿宋_GB2312" w:cs="仿宋_GB2312"/>
          <w:kern w:val="0"/>
          <w:sz w:val="32"/>
          <w:szCs w:val="32"/>
        </w:rPr>
        <w:t>规范发展学历继续教育，提高继续教育服务能力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做好自考助学班学生的毕业工作</w:t>
      </w:r>
      <w:r>
        <w:rPr>
          <w:rFonts w:hint="eastAsia" w:ascii="仿宋_GB2312" w:hAnsi="仿宋_GB2312" w:eastAsia="仿宋_GB2312" w:cs="仿宋_GB2312"/>
          <w:kern w:val="0"/>
          <w:sz w:val="32"/>
          <w:szCs w:val="32"/>
        </w:rPr>
        <w:t>。</w:t>
      </w:r>
    </w:p>
    <w:p w14:paraId="5A917125">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8.推动课堂教学内容、方法改革研究</w:t>
      </w:r>
    </w:p>
    <w:p w14:paraId="667C870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default" w:ascii="Times New Roman" w:hAnsi="Times New Roman" w:eastAsia="仿宋_GB2312" w:cs="Times New Roman"/>
          <w:kern w:val="0"/>
          <w:sz w:val="32"/>
          <w:szCs w:val="32"/>
          <w:highlight w:val="yellow"/>
          <w:lang w:val="en-US" w:eastAsia="zh-CN"/>
        </w:rPr>
      </w:pPr>
      <w:r>
        <w:rPr>
          <w:rFonts w:hint="eastAsia" w:ascii="仿宋_GB2312" w:hAnsi="仿宋_GB2312" w:eastAsia="仿宋_GB2312" w:cs="仿宋_GB2312"/>
          <w:kern w:val="0"/>
          <w:sz w:val="32"/>
          <w:szCs w:val="32"/>
        </w:rPr>
        <w:t>聚焦应用型人才培养，支持各教学单位根据自身实际和学科专业特点开展探索。</w:t>
      </w:r>
      <w:r>
        <w:rPr>
          <w:rFonts w:hint="eastAsia" w:ascii="仿宋_GB2312" w:hAnsi="仿宋_GB2312" w:eastAsia="仿宋_GB2312" w:cs="仿宋_GB2312"/>
          <w:kern w:val="0"/>
          <w:sz w:val="32"/>
          <w:szCs w:val="32"/>
          <w:lang w:val="en-US" w:eastAsia="zh-CN"/>
        </w:rPr>
        <w:t>申报</w:t>
      </w:r>
      <w:r>
        <w:rPr>
          <w:rFonts w:hint="eastAsia" w:ascii="仿宋_GB2312" w:hAnsi="仿宋_GB2312" w:eastAsia="仿宋_GB2312" w:cs="仿宋_GB2312"/>
          <w:kern w:val="0"/>
          <w:sz w:val="32"/>
          <w:szCs w:val="32"/>
        </w:rPr>
        <w:t>立项</w:t>
      </w:r>
      <w:r>
        <w:rPr>
          <w:rFonts w:hint="eastAsia" w:ascii="仿宋_GB2312" w:hAnsi="仿宋_GB2312" w:eastAsia="仿宋_GB2312" w:cs="仿宋_GB2312"/>
          <w:kern w:val="0"/>
          <w:sz w:val="32"/>
          <w:szCs w:val="32"/>
          <w:lang w:val="en-US" w:eastAsia="zh-CN"/>
        </w:rPr>
        <w:t>不少于1个国家级、24个省级</w:t>
      </w:r>
      <w:r>
        <w:rPr>
          <w:rFonts w:hint="eastAsia" w:ascii="仿宋_GB2312" w:hAnsi="仿宋_GB2312" w:eastAsia="仿宋_GB2312" w:cs="仿宋_GB2312"/>
          <w:kern w:val="0"/>
          <w:sz w:val="32"/>
          <w:szCs w:val="32"/>
        </w:rPr>
        <w:t>教研教改项目，引导教师以所授课程为对象开展教学研究、设计教学和应用型人才培养的改革实践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提前谋划和培育第十届教学成果奖项目。</w:t>
      </w:r>
      <w:r>
        <w:rPr>
          <w:rFonts w:hint="eastAsia" w:ascii="仿宋_GB2312" w:hAnsi="仿宋_GB2312" w:eastAsia="仿宋_GB2312" w:cs="仿宋_GB2312"/>
          <w:kern w:val="0"/>
          <w:sz w:val="32"/>
          <w:szCs w:val="32"/>
        </w:rPr>
        <w:t>组织教学设计比赛，加强课堂参与和课堂纪律考核，推进课程考核评价体系专项改革。</w:t>
      </w:r>
      <w:r>
        <w:rPr>
          <w:rFonts w:hint="eastAsia" w:ascii="仿宋_GB2312" w:hAnsi="仿宋_GB2312" w:eastAsia="仿宋_GB2312" w:cs="仿宋_GB2312"/>
          <w:kern w:val="0"/>
          <w:sz w:val="32"/>
          <w:szCs w:val="32"/>
          <w:lang w:val="en-US" w:eastAsia="zh-CN"/>
        </w:rPr>
        <w:t>力争年内获批</w:t>
      </w:r>
      <w:r>
        <w:rPr>
          <w:rFonts w:hint="eastAsia" w:ascii="仿宋_GB2312" w:hAnsi="仿宋_GB2312" w:eastAsia="仿宋_GB2312" w:cs="仿宋_GB2312"/>
          <w:kern w:val="0"/>
          <w:sz w:val="32"/>
          <w:szCs w:val="32"/>
        </w:rPr>
        <w:t>各类省级及以上本科</w:t>
      </w:r>
      <w:r>
        <w:rPr>
          <w:rFonts w:hint="eastAsia" w:ascii="仿宋_GB2312" w:hAnsi="仿宋_GB2312" w:eastAsia="仿宋_GB2312" w:cs="仿宋_GB2312"/>
          <w:kern w:val="0"/>
          <w:sz w:val="32"/>
          <w:szCs w:val="32"/>
          <w:lang w:val="en-US" w:eastAsia="zh-CN"/>
        </w:rPr>
        <w:t>教育</w:t>
      </w:r>
      <w:r>
        <w:rPr>
          <w:rFonts w:hint="eastAsia" w:ascii="仿宋_GB2312" w:hAnsi="仿宋_GB2312" w:eastAsia="仿宋_GB2312" w:cs="仿宋_GB2312"/>
          <w:kern w:val="0"/>
          <w:sz w:val="32"/>
          <w:szCs w:val="32"/>
        </w:rPr>
        <w:t>建设工程项目位列省内同类高校前两位</w:t>
      </w:r>
      <w:r>
        <w:rPr>
          <w:rFonts w:hint="eastAsia" w:ascii="仿宋_GB2312" w:hAnsi="仿宋_GB2312" w:eastAsia="仿宋_GB2312" w:cs="仿宋_GB2312"/>
          <w:kern w:val="0"/>
          <w:sz w:val="32"/>
          <w:szCs w:val="32"/>
          <w:lang w:eastAsia="zh-CN"/>
        </w:rPr>
        <w:t>。</w:t>
      </w:r>
    </w:p>
    <w:p w14:paraId="10ADC59C">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9.加强实践环节教学体系建设</w:t>
      </w:r>
    </w:p>
    <w:p w14:paraId="16EEBA2A">
      <w:pPr>
        <w:keepNext w:val="0"/>
        <w:keepLines w:val="0"/>
        <w:pageBreakBefore w:val="0"/>
        <w:kinsoku/>
        <w:wordWrap/>
        <w:overflowPunct/>
        <w:topLinePunct w:val="0"/>
        <w:autoSpaceDE/>
        <w:autoSpaceDN/>
        <w:bidi w:val="0"/>
        <w:spacing w:line="588"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以满足教育教学为前提，以信息化建设为重点，以提高资源利用率为落脚点，完善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教、学、用、创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实践教学体系，</w:t>
      </w:r>
      <w:r>
        <w:rPr>
          <w:rFonts w:hint="eastAsia" w:ascii="仿宋_GB2312" w:hAnsi="仿宋_GB2312" w:eastAsia="仿宋_GB2312" w:cs="仿宋_GB2312"/>
          <w:kern w:val="0"/>
          <w:sz w:val="32"/>
          <w:szCs w:val="32"/>
          <w:lang w:val="en-US" w:eastAsia="zh-CN"/>
        </w:rPr>
        <w:t>更新实践课程内容、创新实践课程方法，提升</w:t>
      </w:r>
      <w:r>
        <w:rPr>
          <w:rFonts w:hint="eastAsia" w:ascii="仿宋_GB2312" w:hAnsi="仿宋_GB2312" w:eastAsia="仿宋_GB2312" w:cs="仿宋_GB2312"/>
          <w:kern w:val="0"/>
          <w:sz w:val="32"/>
          <w:szCs w:val="32"/>
        </w:rPr>
        <w:t>线上实习</w:t>
      </w:r>
      <w:r>
        <w:rPr>
          <w:rFonts w:hint="eastAsia" w:ascii="仿宋_GB2312" w:hAnsi="仿宋_GB2312" w:eastAsia="仿宋_GB2312" w:cs="仿宋_GB2312"/>
          <w:kern w:val="0"/>
          <w:sz w:val="32"/>
          <w:szCs w:val="32"/>
          <w:lang w:val="en-US" w:eastAsia="zh-CN"/>
        </w:rPr>
        <w:t>质量，推动优质实践课程资源开放共享</w:t>
      </w:r>
      <w:r>
        <w:rPr>
          <w:rFonts w:hint="eastAsia" w:ascii="仿宋_GB2312" w:hAnsi="仿宋_GB2312" w:eastAsia="仿宋_GB2312" w:cs="仿宋_GB2312"/>
          <w:kern w:val="0"/>
          <w:sz w:val="32"/>
          <w:szCs w:val="32"/>
        </w:rPr>
        <w:t>。有效发挥学校职业资格鉴定中心作用，实施“1+X”职业技能等级证书计划，推进“岗课赛证”综合育人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毕业生获得职业资格证书比例不低于75%</w:t>
      </w:r>
      <w:r>
        <w:rPr>
          <w:rFonts w:hint="eastAsia" w:ascii="仿宋_GB2312" w:hAnsi="仿宋_GB2312" w:eastAsia="仿宋_GB2312" w:cs="仿宋_GB2312"/>
          <w:kern w:val="0"/>
          <w:sz w:val="32"/>
          <w:szCs w:val="32"/>
        </w:rPr>
        <w:t>。拓展实践</w:t>
      </w:r>
      <w:r>
        <w:rPr>
          <w:rFonts w:hint="eastAsia" w:ascii="仿宋_GB2312" w:hAnsi="仿宋_GB2312" w:eastAsia="仿宋_GB2312" w:cs="仿宋_GB2312"/>
          <w:kern w:val="0"/>
          <w:sz w:val="32"/>
          <w:szCs w:val="32"/>
          <w:lang w:val="en-US" w:eastAsia="zh-CN"/>
        </w:rPr>
        <w:t>育人平台</w:t>
      </w:r>
      <w:r>
        <w:rPr>
          <w:rFonts w:hint="eastAsia" w:ascii="仿宋_GB2312" w:hAnsi="仿宋_GB2312" w:eastAsia="仿宋_GB2312" w:cs="仿宋_GB2312"/>
          <w:kern w:val="0"/>
          <w:sz w:val="32"/>
          <w:szCs w:val="32"/>
        </w:rPr>
        <w:t>，力争新增</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个省级实践教学平台，提高校企共同指导本科生毕业论文（设计）的比例。组织实践教学环节联合专项检查。</w:t>
      </w:r>
      <w:r>
        <w:rPr>
          <w:rFonts w:hint="eastAsia" w:ascii="仿宋_GB2312" w:hAnsi="仿宋_GB2312" w:eastAsia="仿宋_GB2312" w:cs="仿宋_GB2312"/>
          <w:kern w:val="0"/>
          <w:sz w:val="32"/>
          <w:szCs w:val="32"/>
          <w:lang w:val="en-US" w:eastAsia="zh-CN"/>
        </w:rPr>
        <w:t xml:space="preserve">  </w:t>
      </w:r>
    </w:p>
    <w:p w14:paraId="533EC184">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10.推进产教融合协同育人</w:t>
      </w:r>
    </w:p>
    <w:p w14:paraId="40B7E054">
      <w:pPr>
        <w:keepNext w:val="0"/>
        <w:keepLines w:val="0"/>
        <w:pageBreakBefore w:val="0"/>
        <w:widowControl/>
        <w:kinsoku/>
        <w:wordWrap/>
        <w:overflowPunct/>
        <w:topLinePunct w:val="0"/>
        <w:autoSpaceDE/>
        <w:autoSpaceDN/>
        <w:bidi w:val="0"/>
        <w:spacing w:line="588" w:lineRule="exact"/>
        <w:ind w:firstLine="561"/>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0"/>
          <w:sz w:val="32"/>
          <w:szCs w:val="32"/>
          <w:lang w:val="en-US" w:eastAsia="zh-CN"/>
        </w:rPr>
        <w:t>完善“四共”（共建、共育、共管、共赢）校企合作机制，深入推进学校“一个中心，四个面向”人才培养特色模式，</w:t>
      </w:r>
      <w:r>
        <w:rPr>
          <w:rFonts w:hint="eastAsia" w:ascii="仿宋_GB2312" w:hAnsi="仿宋_GB2312" w:eastAsia="仿宋_GB2312" w:cs="仿宋_GB2312"/>
          <w:kern w:val="0"/>
          <w:sz w:val="32"/>
          <w:szCs w:val="32"/>
        </w:rPr>
        <w:t>研究制定学校“十四五”产教融合校企合作工作意见，促进应用型建设融入地方，长入经济，汇入产业，渗入师生，进入议程。</w:t>
      </w:r>
      <w:r>
        <w:rPr>
          <w:rFonts w:hint="eastAsia" w:ascii="仿宋_GB2312" w:hAnsi="仿宋_GB2312" w:eastAsia="仿宋_GB2312" w:cs="仿宋_GB2312"/>
          <w:kern w:val="0"/>
          <w:sz w:val="32"/>
          <w:szCs w:val="32"/>
          <w:lang w:val="en-US" w:eastAsia="zh-CN"/>
        </w:rPr>
        <w:t>开展</w:t>
      </w:r>
      <w:r>
        <w:rPr>
          <w:rFonts w:hint="eastAsia" w:ascii="仿宋_GB2312" w:hAnsi="仿宋_GB2312" w:eastAsia="仿宋_GB2312" w:cs="仿宋_GB2312"/>
          <w:kern w:val="0"/>
          <w:sz w:val="32"/>
          <w:szCs w:val="32"/>
        </w:rPr>
        <w:t>现有合作项目检查评估，发掘合作单位实习实训资源，推进合作项目走深走实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夯实学校应用型人才培养基础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以区域产业急需为牵引，面向学校特色专业、师资和实践条件紧缺专业，</w:t>
      </w:r>
      <w:r>
        <w:rPr>
          <w:rFonts w:hint="eastAsia" w:ascii="仿宋_GB2312" w:hAnsi="仿宋_GB2312" w:eastAsia="仿宋_GB2312" w:cs="仿宋_GB2312"/>
          <w:kern w:val="0"/>
          <w:sz w:val="32"/>
          <w:szCs w:val="32"/>
        </w:rPr>
        <w:t>筹备创建“现代产业学院”，</w:t>
      </w:r>
      <w:r>
        <w:rPr>
          <w:rFonts w:hint="eastAsia" w:ascii="仿宋_GB2312" w:hAnsi="仿宋_GB2312" w:eastAsia="仿宋_GB2312" w:cs="仿宋_GB2312"/>
          <w:kern w:val="0"/>
          <w:sz w:val="32"/>
          <w:szCs w:val="32"/>
          <w:lang w:val="en-US" w:eastAsia="zh-CN"/>
        </w:rPr>
        <w:t>完善人才培养协同机制，推进</w:t>
      </w:r>
      <w:r>
        <w:rPr>
          <w:rFonts w:hint="eastAsia" w:ascii="仿宋_GB2312" w:hAnsi="仿宋_GB2312" w:eastAsia="仿宋_GB2312" w:cs="仿宋_GB2312"/>
          <w:kern w:val="0"/>
          <w:sz w:val="32"/>
          <w:szCs w:val="32"/>
        </w:rPr>
        <w:t>特色化示范性学院建设。聚焦</w:t>
      </w:r>
      <w:r>
        <w:rPr>
          <w:rFonts w:hint="eastAsia" w:ascii="仿宋_GB2312" w:hAnsi="仿宋_GB2312" w:eastAsia="仿宋_GB2312" w:cs="仿宋_GB2312"/>
          <w:kern w:val="0"/>
          <w:sz w:val="32"/>
          <w:szCs w:val="32"/>
          <w:lang w:val="en-US" w:eastAsia="zh-CN"/>
        </w:rPr>
        <w:t>对接我省区域发展战略，打造</w:t>
      </w:r>
      <w:r>
        <w:rPr>
          <w:rFonts w:hint="eastAsia" w:ascii="仿宋_GB2312" w:hAnsi="仿宋_GB2312" w:eastAsia="仿宋_GB2312" w:cs="仿宋_GB2312"/>
          <w:kern w:val="0"/>
          <w:sz w:val="32"/>
          <w:szCs w:val="32"/>
        </w:rPr>
        <w:t>“51020”现代产业集群。探索符合学校实际、体现学科专业特色的产教融合新模式，建设1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2个校企实质性合作新平台。</w:t>
      </w:r>
    </w:p>
    <w:p w14:paraId="1E564FD8">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11.加强质量保障</w:t>
      </w:r>
    </w:p>
    <w:p w14:paraId="3261A9D7">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贯彻落实中办国办《关于深化新时代教育督导体制机制改革的意见》，把“一根本、两突出、三强化、五个度”作为学校办学的基本规范和价值追求</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形成</w:t>
      </w:r>
      <w:r>
        <w:rPr>
          <w:rFonts w:hint="eastAsia" w:ascii="Times New Roman" w:hAnsi="Times New Roman" w:eastAsia="仿宋_GB2312" w:cs="Times New Roman"/>
          <w:kern w:val="0"/>
          <w:sz w:val="32"/>
          <w:szCs w:val="32"/>
          <w:lang w:eastAsia="zh-CN"/>
        </w:rPr>
        <w:t>自觉、自省、自律、自查、自纠的质量保障机制</w:t>
      </w:r>
      <w:r>
        <w:rPr>
          <w:rFonts w:hint="eastAsia" w:ascii="Times New Roman" w:hAnsi="Times New Roman" w:eastAsia="仿宋_GB2312" w:cs="Times New Roman"/>
          <w:kern w:val="0"/>
          <w:sz w:val="32"/>
          <w:szCs w:val="32"/>
          <w:lang w:val="en-US" w:eastAsia="zh-CN"/>
        </w:rPr>
        <w:t>和质量文化</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加强对校院两级督导工作的监督检查，</w:t>
      </w:r>
      <w:r>
        <w:rPr>
          <w:rFonts w:hint="eastAsia" w:ascii="仿宋_GB2312" w:hAnsi="仿宋_GB2312" w:eastAsia="仿宋_GB2312" w:cs="仿宋_GB2312"/>
          <w:bCs/>
          <w:color w:val="auto"/>
          <w:sz w:val="32"/>
          <w:szCs w:val="32"/>
          <w:highlight w:val="none"/>
        </w:rPr>
        <w:t>提高督导人员的责任意识和管理水平。</w:t>
      </w:r>
      <w:r>
        <w:rPr>
          <w:rFonts w:hint="eastAsia" w:ascii="Times New Roman" w:hAnsi="Times New Roman" w:eastAsia="仿宋_GB2312" w:cs="Times New Roman"/>
          <w:kern w:val="0"/>
          <w:sz w:val="32"/>
          <w:szCs w:val="32"/>
        </w:rPr>
        <w:t>加</w:t>
      </w:r>
      <w:r>
        <w:rPr>
          <w:rFonts w:hint="eastAsia" w:ascii="Times New Roman" w:hAnsi="Times New Roman" w:eastAsia="仿宋_GB2312" w:cs="Times New Roman"/>
          <w:kern w:val="0"/>
          <w:sz w:val="32"/>
          <w:szCs w:val="32"/>
          <w:lang w:val="en-US" w:eastAsia="zh-CN"/>
        </w:rPr>
        <w:t>大</w:t>
      </w:r>
      <w:r>
        <w:rPr>
          <w:rFonts w:hint="eastAsia" w:ascii="Times New Roman" w:hAnsi="Times New Roman" w:eastAsia="仿宋_GB2312" w:cs="Times New Roman"/>
          <w:kern w:val="0"/>
          <w:sz w:val="32"/>
          <w:szCs w:val="32"/>
        </w:rPr>
        <w:t>对教师教学行为、教学质量的监测评价和教师教学违规行为检查处理力度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常态化开展听课巡课活动，定期组织召开工作分析会</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highlight w:val="none"/>
        </w:rPr>
        <w:t>试点引入专业机构开展第三方评价</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rPr>
        <w:t>利用信息化手段改进评教评学等监测检查办法</w:t>
      </w:r>
      <w:r>
        <w:rPr>
          <w:rFonts w:hint="eastAsia" w:ascii="仿宋_GB2312" w:hAnsi="仿宋_GB2312" w:eastAsia="仿宋_GB2312" w:cs="仿宋_GB2312"/>
          <w:bCs/>
          <w:color w:val="auto"/>
          <w:sz w:val="32"/>
          <w:szCs w:val="32"/>
          <w:highlight w:val="none"/>
          <w:lang w:val="en-US" w:eastAsia="zh-CN"/>
        </w:rPr>
        <w:t>。</w:t>
      </w:r>
      <w:r>
        <w:rPr>
          <w:rFonts w:hint="eastAsia" w:ascii="Times New Roman" w:hAnsi="Times New Roman" w:eastAsia="仿宋_GB2312" w:cs="Times New Roman"/>
          <w:kern w:val="0"/>
          <w:sz w:val="32"/>
          <w:szCs w:val="32"/>
        </w:rPr>
        <w:t>完善教学质量标准和规范</w:t>
      </w:r>
      <w:r>
        <w:rPr>
          <w:rFonts w:hint="eastAsia" w:ascii="Times New Roman" w:hAnsi="Times New Roman" w:eastAsia="仿宋_GB2312" w:cs="Times New Roman"/>
          <w:kern w:val="0"/>
          <w:sz w:val="32"/>
          <w:szCs w:val="32"/>
          <w:lang w:val="en-US" w:eastAsia="zh-CN"/>
        </w:rPr>
        <w:t>，加强对新进教师教学能力的培养提升，编写《教学管理应知应会》《教学工作应知应会》宣传学习手册</w:t>
      </w:r>
      <w:r>
        <w:rPr>
          <w:rFonts w:hint="eastAsia"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支持</w:t>
      </w:r>
      <w:r>
        <w:rPr>
          <w:rFonts w:hint="eastAsia" w:ascii="Times New Roman" w:hAnsi="Times New Roman" w:eastAsia="仿宋_GB2312" w:cs="Times New Roman"/>
          <w:kern w:val="0"/>
          <w:sz w:val="32"/>
          <w:szCs w:val="32"/>
        </w:rPr>
        <w:t>相关专业试点工程教育认证、学前教育专业开展师范专业认证。</w:t>
      </w:r>
      <w:r>
        <w:rPr>
          <w:rFonts w:hint="eastAsia" w:ascii="Times New Roman" w:hAnsi="Times New Roman" w:eastAsia="仿宋_GB2312" w:cs="Times New Roman"/>
          <w:kern w:val="0"/>
          <w:sz w:val="32"/>
          <w:szCs w:val="32"/>
          <w:lang w:val="en-US" w:eastAsia="zh-CN"/>
        </w:rPr>
        <w:t>组织开展专业核心课、</w:t>
      </w:r>
      <w:r>
        <w:rPr>
          <w:rFonts w:hint="eastAsia" w:ascii="仿宋_GB2312" w:hAnsi="仿宋_GB2312" w:eastAsia="仿宋_GB2312" w:cs="仿宋_GB2312"/>
          <w:bCs/>
          <w:color w:val="auto"/>
          <w:sz w:val="32"/>
          <w:szCs w:val="32"/>
          <w:highlight w:val="none"/>
        </w:rPr>
        <w:t>实验实习实训环节质量</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毕业论文（设计）</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试卷</w:t>
      </w:r>
      <w:r>
        <w:rPr>
          <w:rFonts w:hint="eastAsia" w:ascii="仿宋_GB2312" w:hAnsi="仿宋_GB2312" w:eastAsia="仿宋_GB2312" w:cs="仿宋_GB2312"/>
          <w:bCs/>
          <w:color w:val="auto"/>
          <w:sz w:val="32"/>
          <w:szCs w:val="32"/>
          <w:highlight w:val="none"/>
          <w:lang w:val="en-US" w:eastAsia="zh-CN"/>
        </w:rPr>
        <w:t>以及</w:t>
      </w:r>
      <w:r>
        <w:rPr>
          <w:rFonts w:hint="eastAsia" w:ascii="Times New Roman" w:hAnsi="Times New Roman" w:eastAsia="仿宋_GB2312" w:cs="Times New Roman"/>
          <w:kern w:val="0"/>
          <w:sz w:val="32"/>
          <w:szCs w:val="32"/>
        </w:rPr>
        <w:t>各级各类质量工程项目</w:t>
      </w:r>
      <w:r>
        <w:rPr>
          <w:rFonts w:hint="eastAsia" w:ascii="仿宋_GB2312" w:hAnsi="仿宋_GB2312" w:eastAsia="仿宋_GB2312" w:cs="仿宋_GB2312"/>
          <w:bCs/>
          <w:color w:val="auto"/>
          <w:sz w:val="32"/>
          <w:szCs w:val="32"/>
          <w:highlight w:val="none"/>
          <w:lang w:val="en-US" w:eastAsia="zh-CN"/>
        </w:rPr>
        <w:t>等的</w:t>
      </w:r>
      <w:r>
        <w:rPr>
          <w:rFonts w:hint="eastAsia" w:ascii="Times New Roman" w:hAnsi="Times New Roman" w:eastAsia="仿宋_GB2312" w:cs="Times New Roman"/>
          <w:kern w:val="0"/>
          <w:sz w:val="32"/>
          <w:szCs w:val="32"/>
          <w:lang w:val="en-US" w:eastAsia="zh-CN"/>
        </w:rPr>
        <w:t>专项检查和自我评估，做好</w:t>
      </w:r>
      <w:r>
        <w:rPr>
          <w:rFonts w:hint="eastAsia" w:ascii="仿宋_GB2312" w:hAnsi="仿宋_GB2312" w:eastAsia="仿宋_GB2312" w:cs="仿宋_GB2312"/>
          <w:bCs/>
          <w:color w:val="auto"/>
          <w:sz w:val="32"/>
          <w:szCs w:val="32"/>
          <w:highlight w:val="none"/>
        </w:rPr>
        <w:t>每学期期初、期中、期末教学检查工作</w:t>
      </w:r>
      <w:r>
        <w:rPr>
          <w:rFonts w:hint="eastAsia" w:ascii="Times New Roman" w:hAnsi="Times New Roman" w:eastAsia="仿宋_GB2312" w:cs="Times New Roman"/>
          <w:kern w:val="0"/>
          <w:sz w:val="32"/>
          <w:szCs w:val="32"/>
          <w:lang w:val="en-US" w:eastAsia="zh-CN"/>
        </w:rPr>
        <w:t>。</w:t>
      </w:r>
    </w:p>
    <w:p w14:paraId="26512E11">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三、</w:t>
      </w:r>
      <w:r>
        <w:rPr>
          <w:rFonts w:ascii="Times New Roman" w:hAnsi="Times New Roman" w:eastAsia="黑体" w:cs="Times New Roman"/>
          <w:kern w:val="0"/>
          <w:sz w:val="32"/>
          <w:szCs w:val="32"/>
        </w:rPr>
        <w:t>加强</w:t>
      </w:r>
      <w:r>
        <w:rPr>
          <w:rFonts w:hint="eastAsia" w:ascii="Times New Roman" w:hAnsi="Times New Roman" w:eastAsia="黑体" w:cs="Times New Roman"/>
          <w:kern w:val="0"/>
          <w:sz w:val="32"/>
          <w:szCs w:val="32"/>
        </w:rPr>
        <w:t>学科建设和科研工作</w:t>
      </w:r>
      <w:r>
        <w:rPr>
          <w:rFonts w:ascii="Times New Roman" w:hAnsi="Times New Roman" w:eastAsia="黑体" w:cs="Times New Roman"/>
          <w:kern w:val="0"/>
          <w:sz w:val="32"/>
          <w:szCs w:val="32"/>
        </w:rPr>
        <w:t>，提升</w:t>
      </w:r>
      <w:r>
        <w:rPr>
          <w:rFonts w:hint="eastAsia" w:ascii="Times New Roman" w:hAnsi="Times New Roman" w:eastAsia="黑体" w:cs="Times New Roman"/>
          <w:kern w:val="0"/>
          <w:sz w:val="32"/>
          <w:szCs w:val="32"/>
        </w:rPr>
        <w:t>学科建设</w:t>
      </w:r>
      <w:r>
        <w:rPr>
          <w:rFonts w:ascii="Times New Roman" w:hAnsi="Times New Roman" w:eastAsia="黑体" w:cs="Times New Roman"/>
          <w:kern w:val="0"/>
          <w:sz w:val="32"/>
          <w:szCs w:val="32"/>
        </w:rPr>
        <w:t>水平</w:t>
      </w:r>
      <w:r>
        <w:rPr>
          <w:rFonts w:hint="eastAsia" w:ascii="Times New Roman" w:hAnsi="Times New Roman" w:eastAsia="黑体" w:cs="Times New Roman"/>
          <w:kern w:val="0"/>
          <w:sz w:val="32"/>
          <w:szCs w:val="32"/>
        </w:rPr>
        <w:t>和</w:t>
      </w:r>
      <w:r>
        <w:rPr>
          <w:rFonts w:ascii="Times New Roman" w:hAnsi="Times New Roman" w:eastAsia="黑体" w:cs="Times New Roman"/>
          <w:kern w:val="0"/>
          <w:sz w:val="32"/>
          <w:szCs w:val="32"/>
        </w:rPr>
        <w:t>科研</w:t>
      </w:r>
      <w:r>
        <w:rPr>
          <w:rFonts w:hint="eastAsia" w:ascii="Times New Roman" w:hAnsi="Times New Roman" w:eastAsia="黑体" w:cs="Times New Roman"/>
          <w:kern w:val="0"/>
          <w:sz w:val="32"/>
          <w:szCs w:val="32"/>
        </w:rPr>
        <w:t>工作</w:t>
      </w:r>
      <w:r>
        <w:rPr>
          <w:rFonts w:ascii="Times New Roman" w:hAnsi="Times New Roman" w:eastAsia="黑体" w:cs="Times New Roman"/>
          <w:kern w:val="0"/>
          <w:sz w:val="32"/>
          <w:szCs w:val="32"/>
        </w:rPr>
        <w:t>质量</w:t>
      </w:r>
    </w:p>
    <w:p w14:paraId="6CAA16B4">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12.加强学科（群）建设</w:t>
      </w:r>
    </w:p>
    <w:p w14:paraId="1AA9EDA7">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实施师资（团队）、项目、条件“一体化”建设，</w:t>
      </w:r>
      <w:r>
        <w:rPr>
          <w:rFonts w:hint="eastAsia" w:ascii="仿宋_GB2312" w:hAnsi="仿宋_GB2312" w:eastAsia="仿宋_GB2312" w:cs="仿宋_GB2312"/>
          <w:kern w:val="0"/>
          <w:sz w:val="32"/>
          <w:szCs w:val="32"/>
        </w:rPr>
        <w:t>探索构建</w:t>
      </w:r>
      <w:bookmarkStart w:id="3" w:name="_Hlk91256434"/>
      <w:r>
        <w:rPr>
          <w:rFonts w:hint="eastAsia" w:ascii="仿宋_GB2312" w:hAnsi="仿宋_GB2312" w:eastAsia="仿宋_GB2312" w:cs="仿宋_GB2312"/>
          <w:kern w:val="0"/>
          <w:sz w:val="32"/>
          <w:szCs w:val="32"/>
        </w:rPr>
        <w:t>省级优势特色学科（群）</w:t>
      </w:r>
      <w:bookmarkEnd w:id="3"/>
      <w:r>
        <w:rPr>
          <w:rFonts w:hint="eastAsia" w:ascii="仿宋_GB2312" w:hAnsi="仿宋_GB2312" w:eastAsia="仿宋_GB2312" w:cs="仿宋_GB2312"/>
          <w:kern w:val="0"/>
          <w:sz w:val="32"/>
          <w:szCs w:val="32"/>
        </w:rPr>
        <w:t>、校级重点学科两级学科分层建设体系。推进文化传播与数字内容产业发展、物理学2个省级优势特色学科（群）及其支撑学科建设，严格落实五年建设规划和年度建设计划，开展项目绩效自评，制定问题清单及整改措施，确保学科（群）建设成效。按照强基础、重交叉、创特色、上水平的思路，选育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4个校级重点学科，凝练学科方向、建设学科平台、创新体制机制，培育学科发展新动能，探索学校、产业、科技创新协同发展、深度融合的学科体系。</w:t>
      </w:r>
    </w:p>
    <w:p w14:paraId="297EBB83">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对标新增硕士学位授予单位及授权点要求开展建设</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组织试填《申请硕士专业学位授权点简况表》，对学院（课部）申硕基本情况进行摸底</w:t>
      </w:r>
      <w:r>
        <w:rPr>
          <w:rFonts w:hint="eastAsia" w:ascii="仿宋_GB2312" w:hAnsi="仿宋_GB2312" w:eastAsia="仿宋_GB2312" w:cs="仿宋_GB2312"/>
          <w:kern w:val="0"/>
          <w:sz w:val="32"/>
          <w:szCs w:val="32"/>
        </w:rPr>
        <w:t>。继续做好联合培养研究生工作，</w:t>
      </w:r>
      <w:r>
        <w:rPr>
          <w:rFonts w:hint="eastAsia" w:ascii="仿宋_GB2312" w:hAnsi="仿宋_GB2312" w:eastAsia="仿宋_GB2312" w:cs="仿宋_GB2312"/>
          <w:kern w:val="0"/>
          <w:sz w:val="32"/>
          <w:szCs w:val="32"/>
          <w:lang w:val="en-US" w:eastAsia="zh-CN"/>
        </w:rPr>
        <w:t>力争</w:t>
      </w:r>
      <w:r>
        <w:rPr>
          <w:rFonts w:hint="eastAsia" w:ascii="仿宋_GB2312" w:hAnsi="仿宋_GB2312" w:eastAsia="仿宋_GB2312" w:cs="仿宋_GB2312"/>
          <w:kern w:val="0"/>
          <w:sz w:val="32"/>
          <w:szCs w:val="32"/>
        </w:rPr>
        <w:t>联合培养研究生</w:t>
      </w:r>
      <w:r>
        <w:rPr>
          <w:rFonts w:hint="eastAsia" w:ascii="仿宋_GB2312" w:hAnsi="仿宋_GB2312" w:eastAsia="仿宋_GB2312" w:cs="仿宋_GB2312"/>
          <w:kern w:val="0"/>
          <w:sz w:val="32"/>
          <w:szCs w:val="32"/>
          <w:lang w:val="en-US" w:eastAsia="zh-CN"/>
        </w:rPr>
        <w:t>人数不少于30人，</w:t>
      </w:r>
      <w:r>
        <w:rPr>
          <w:rFonts w:hint="eastAsia" w:ascii="仿宋_GB2312" w:hAnsi="仿宋_GB2312" w:eastAsia="仿宋_GB2312" w:cs="仿宋_GB2312"/>
          <w:kern w:val="0"/>
          <w:sz w:val="32"/>
          <w:szCs w:val="32"/>
        </w:rPr>
        <w:t>加大学校导师参与度，提升联合培养研究生的数量与质量。</w:t>
      </w:r>
    </w:p>
    <w:p w14:paraId="36BEFFF9">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13.提升科研规模和质量效益</w:t>
      </w:r>
    </w:p>
    <w:p w14:paraId="02A801EA">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开展以“破五唯”“立新标”为主题的科研管理体制改革，加大科技创新政策宣传力度，开展科研诚信建设，严厉查处科研失信行为。</w:t>
      </w:r>
      <w:r>
        <w:rPr>
          <w:rFonts w:hint="eastAsia" w:ascii="仿宋_GB2312" w:hAnsi="仿宋_GB2312" w:eastAsia="仿宋_GB2312" w:cs="仿宋_GB2312"/>
          <w:kern w:val="0"/>
          <w:sz w:val="32"/>
          <w:szCs w:val="32"/>
        </w:rPr>
        <w:t>加强校级科研团队建设，重视过程监管与考核，推动人才、团队、基地、项目的一体化联动。进一步改进科研服务，</w:t>
      </w:r>
      <w:r>
        <w:rPr>
          <w:rFonts w:hint="eastAsia" w:ascii="仿宋_GB2312" w:hAnsi="仿宋_GB2312" w:eastAsia="仿宋_GB2312" w:cs="仿宋_GB2312"/>
          <w:kern w:val="0"/>
          <w:sz w:val="32"/>
          <w:szCs w:val="32"/>
          <w:lang w:val="en-US" w:eastAsia="zh-CN"/>
        </w:rPr>
        <w:t>确保“到人、到事、到时”，注重对高层次人才特别是青年博士的指导服务，</w:t>
      </w:r>
      <w:r>
        <w:rPr>
          <w:rFonts w:hint="eastAsia" w:ascii="仿宋_GB2312" w:hAnsi="仿宋_GB2312" w:eastAsia="仿宋_GB2312" w:cs="仿宋_GB2312"/>
          <w:kern w:val="0"/>
          <w:sz w:val="32"/>
          <w:szCs w:val="32"/>
        </w:rPr>
        <w:t>及时对《</w:t>
      </w:r>
      <w:r>
        <w:rPr>
          <w:rFonts w:hint="eastAsia" w:ascii="仿宋_GB2312" w:hAnsi="仿宋_GB2312" w:eastAsia="仿宋_GB2312" w:cs="仿宋_GB2312"/>
          <w:kern w:val="0"/>
          <w:sz w:val="32"/>
          <w:szCs w:val="32"/>
          <w:lang w:eastAsia="zh-CN"/>
        </w:rPr>
        <w:t>武汉东湖学院</w:t>
      </w:r>
      <w:r>
        <w:rPr>
          <w:rFonts w:hint="eastAsia" w:ascii="仿宋_GB2312" w:hAnsi="仿宋_GB2312" w:eastAsia="仿宋_GB2312" w:cs="仿宋_GB2312"/>
          <w:kern w:val="0"/>
          <w:sz w:val="32"/>
          <w:szCs w:val="32"/>
        </w:rPr>
        <w:t>科研管理办法》有关条款作出解释和说明。继续支持和发挥农业电子商务湖北省协同创新中心在科学研究、人才培养中的引领作用，带动学校相关学科专业发展，新增获批1个省级科研平台</w:t>
      </w:r>
      <w:r>
        <w:rPr>
          <w:rFonts w:hint="eastAsia" w:ascii="仿宋_GB2312" w:hAnsi="仿宋_GB2312" w:eastAsia="仿宋_GB2312" w:cs="仿宋_GB2312"/>
          <w:kern w:val="0"/>
          <w:sz w:val="32"/>
          <w:szCs w:val="32"/>
          <w:lang w:eastAsia="zh-CN"/>
        </w:rPr>
        <w:t>，新增省级科技创新团队</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rPr>
        <w:t>。加强对各级各类科研项目的中期检查和结项验收，积极推动科技成果转化或应用工作。力争获批立项国家级项目不少于</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省部级、市厅级项目不少于5</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项，力争取得</w:t>
      </w:r>
      <w:r>
        <w:rPr>
          <w:rFonts w:hint="eastAsia" w:ascii="仿宋_GB2312" w:hAnsi="仿宋_GB2312" w:eastAsia="仿宋_GB2312" w:cs="仿宋_GB2312"/>
          <w:kern w:val="0"/>
          <w:sz w:val="32"/>
          <w:szCs w:val="32"/>
          <w:lang w:val="en-US" w:eastAsia="zh-CN"/>
        </w:rPr>
        <w:t>省部级及以上</w:t>
      </w:r>
      <w:r>
        <w:rPr>
          <w:rFonts w:hint="eastAsia" w:ascii="仿宋_GB2312" w:hAnsi="仿宋_GB2312" w:eastAsia="仿宋_GB2312" w:cs="仿宋_GB2312"/>
          <w:kern w:val="0"/>
          <w:sz w:val="32"/>
          <w:szCs w:val="32"/>
        </w:rPr>
        <w:t>科研成果奖</w:t>
      </w:r>
      <w:r>
        <w:rPr>
          <w:rFonts w:hint="eastAsia" w:ascii="仿宋_GB2312" w:hAnsi="仿宋_GB2312" w:eastAsia="仿宋_GB2312" w:cs="仿宋_GB2312"/>
          <w:kern w:val="0"/>
          <w:sz w:val="32"/>
          <w:szCs w:val="32"/>
          <w:lang w:val="en-US" w:eastAsia="zh-CN"/>
        </w:rPr>
        <w:t>不少于3项</w:t>
      </w:r>
      <w:r>
        <w:rPr>
          <w:rFonts w:hint="eastAsia" w:ascii="仿宋_GB2312" w:hAnsi="仿宋_GB2312" w:eastAsia="仿宋_GB2312" w:cs="仿宋_GB2312"/>
          <w:kern w:val="0"/>
          <w:sz w:val="32"/>
          <w:szCs w:val="32"/>
        </w:rPr>
        <w:t>，新增科技成果转化或应用项目</w:t>
      </w:r>
      <w:r>
        <w:rPr>
          <w:rFonts w:hint="eastAsia" w:ascii="仿宋_GB2312" w:hAnsi="仿宋_GB2312" w:eastAsia="仿宋_GB2312" w:cs="仿宋_GB2312"/>
          <w:kern w:val="0"/>
          <w:sz w:val="32"/>
          <w:szCs w:val="32"/>
          <w:lang w:val="en-US" w:eastAsia="zh-CN"/>
        </w:rPr>
        <w:t>不少于5项</w:t>
      </w:r>
      <w:r>
        <w:rPr>
          <w:rFonts w:hint="eastAsia" w:ascii="仿宋_GB2312" w:hAnsi="仿宋_GB2312" w:eastAsia="仿宋_GB2312" w:cs="仿宋_GB2312"/>
          <w:kern w:val="0"/>
          <w:sz w:val="32"/>
          <w:szCs w:val="32"/>
        </w:rPr>
        <w:t>。鼓励专任教师公开发表论文著作、教材、作品</w:t>
      </w:r>
      <w:r>
        <w:rPr>
          <w:rFonts w:hint="eastAsia" w:ascii="仿宋_GB2312" w:hAnsi="仿宋_GB2312" w:eastAsia="仿宋_GB2312" w:cs="仿宋_GB2312"/>
          <w:kern w:val="0"/>
          <w:sz w:val="32"/>
          <w:szCs w:val="32"/>
          <w:lang w:val="en-US" w:eastAsia="zh-CN"/>
        </w:rPr>
        <w:t>不少于648篇（部），</w:t>
      </w:r>
      <w:r>
        <w:rPr>
          <w:rFonts w:hint="eastAsia" w:ascii="仿宋_GB2312" w:hAnsi="仿宋_GB2312" w:eastAsia="仿宋_GB2312" w:cs="仿宋_GB2312"/>
          <w:kern w:val="0"/>
          <w:sz w:val="32"/>
          <w:szCs w:val="32"/>
          <w:lang w:eastAsia="zh-CN"/>
        </w:rPr>
        <w:t>发表高水平论文不少于23</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篇，鼓励支持科技成果</w:t>
      </w:r>
      <w:r>
        <w:rPr>
          <w:rFonts w:hint="eastAsia" w:ascii="仿宋_GB2312" w:hAnsi="仿宋_GB2312" w:eastAsia="仿宋_GB2312" w:cs="仿宋_GB2312"/>
          <w:kern w:val="0"/>
          <w:sz w:val="32"/>
          <w:szCs w:val="32"/>
        </w:rPr>
        <w:t>转化或应用，引导教师开展标准研制、发明专利授权、科研成果转让、应用、作价入股等工作，加大智库成果建设力度</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全年度科研到账经费</w:t>
      </w:r>
      <w:r>
        <w:rPr>
          <w:rFonts w:hint="eastAsia" w:ascii="仿宋_GB2312" w:hAnsi="仿宋_GB2312" w:eastAsia="仿宋_GB2312" w:cs="仿宋_GB2312"/>
          <w:kern w:val="0"/>
          <w:sz w:val="32"/>
          <w:szCs w:val="32"/>
          <w:lang w:val="en-US" w:eastAsia="zh-CN"/>
        </w:rPr>
        <w:t>迈上1100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val="en-US" w:eastAsia="zh-CN"/>
        </w:rPr>
        <w:t>台阶</w:t>
      </w:r>
      <w:r>
        <w:rPr>
          <w:rFonts w:hint="eastAsia" w:ascii="仿宋_GB2312" w:hAnsi="仿宋_GB2312" w:eastAsia="仿宋_GB2312" w:cs="仿宋_GB2312"/>
          <w:kern w:val="0"/>
          <w:sz w:val="32"/>
          <w:szCs w:val="32"/>
          <w:lang w:eastAsia="zh-CN"/>
        </w:rPr>
        <w:t>。</w:t>
      </w:r>
    </w:p>
    <w:p w14:paraId="6BFD1437">
      <w:pPr>
        <w:keepNext w:val="0"/>
        <w:keepLines w:val="0"/>
        <w:pageBreakBefore w:val="0"/>
        <w:kinsoku/>
        <w:wordWrap/>
        <w:overflowPunct/>
        <w:topLinePunct w:val="0"/>
        <w:autoSpaceDE/>
        <w:autoSpaceDN/>
        <w:bidi w:val="0"/>
        <w:spacing w:line="588" w:lineRule="exact"/>
        <w:ind w:firstLine="640" w:firstLineChars="200"/>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四</w:t>
      </w:r>
      <w:r>
        <w:rPr>
          <w:rFonts w:hint="eastAsia" w:ascii="Times New Roman" w:hAnsi="Times New Roman" w:eastAsia="黑体" w:cs="Times New Roman"/>
          <w:kern w:val="0"/>
          <w:sz w:val="32"/>
          <w:szCs w:val="32"/>
        </w:rPr>
        <w:t>、聚焦学生发展，</w:t>
      </w:r>
      <w:r>
        <w:rPr>
          <w:rFonts w:ascii="Times New Roman" w:hAnsi="Times New Roman" w:eastAsia="黑体" w:cs="Times New Roman"/>
          <w:kern w:val="0"/>
          <w:sz w:val="32"/>
          <w:szCs w:val="32"/>
        </w:rPr>
        <w:t>不断提高</w:t>
      </w:r>
      <w:r>
        <w:rPr>
          <w:rFonts w:hint="eastAsia" w:ascii="Times New Roman" w:hAnsi="Times New Roman" w:eastAsia="黑体" w:cs="Times New Roman"/>
          <w:kern w:val="0"/>
          <w:sz w:val="32"/>
          <w:szCs w:val="32"/>
        </w:rPr>
        <w:t>学生教育管理服务</w:t>
      </w:r>
      <w:r>
        <w:rPr>
          <w:rFonts w:ascii="Times New Roman" w:hAnsi="Times New Roman" w:eastAsia="黑体" w:cs="Times New Roman"/>
          <w:kern w:val="0"/>
          <w:sz w:val="32"/>
          <w:szCs w:val="32"/>
        </w:rPr>
        <w:t>水平</w:t>
      </w:r>
    </w:p>
    <w:p w14:paraId="6CB22369">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14.提高学生教育管理服务水平</w:t>
      </w:r>
    </w:p>
    <w:p w14:paraId="5ABBFFE8">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lang w:val="en-US" w:eastAsia="zh-CN"/>
        </w:rPr>
        <w:t>依托“一站式”学生社区综合管理模式建设，</w:t>
      </w:r>
      <w:r>
        <w:rPr>
          <w:rFonts w:hint="eastAsia" w:ascii="仿宋_GB2312" w:hAnsi="仿宋_GB2312" w:eastAsia="仿宋_GB2312" w:cs="仿宋_GB2312"/>
          <w:kern w:val="0"/>
          <w:sz w:val="32"/>
          <w:szCs w:val="32"/>
        </w:rPr>
        <w:t>推动“</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联三进”工作取得实效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提升学业导师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班主任</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、辅导员服务学生工作质量。</w:t>
      </w:r>
      <w:r>
        <w:rPr>
          <w:rFonts w:hint="eastAsia" w:ascii="仿宋_GB2312" w:hAnsi="仿宋_GB2312" w:eastAsia="仿宋_GB2312" w:cs="仿宋_GB2312"/>
          <w:kern w:val="0"/>
          <w:sz w:val="32"/>
          <w:szCs w:val="32"/>
          <w:lang w:val="en-US" w:eastAsia="zh-CN"/>
        </w:rPr>
        <w:t>开展</w:t>
      </w:r>
      <w:r>
        <w:rPr>
          <w:rFonts w:hint="eastAsia" w:ascii="仿宋_GB2312" w:hAnsi="仿宋_GB2312" w:eastAsia="仿宋_GB2312" w:cs="仿宋_GB2312"/>
          <w:kern w:val="0"/>
          <w:sz w:val="32"/>
          <w:szCs w:val="32"/>
        </w:rPr>
        <w:t>“三个一”〔讲一个故事、唱（写）一首（诗）歌、写一封信〕主题活动。实施“五帮五促”育人计划，深入开展大学生暑期“三下乡”和社会调查、生产劳动、社会公益、志愿服务、科技发明、勤工助学等活动，积极推进“青年红色筑梦之旅”活动。</w:t>
      </w:r>
      <w:r>
        <w:rPr>
          <w:rFonts w:hint="eastAsia" w:ascii="仿宋_GB2312" w:hAnsi="仿宋_GB2312" w:eastAsia="仿宋_GB2312" w:cs="仿宋_GB2312"/>
          <w:kern w:val="0"/>
          <w:sz w:val="32"/>
          <w:szCs w:val="32"/>
          <w:lang w:val="en-US" w:eastAsia="zh-CN"/>
        </w:rPr>
        <w:t>稳妥有序安排好南校区2022级专科生回迁武汉校区工作。做好学生奖助补贷工作，</w:t>
      </w:r>
      <w:r>
        <w:rPr>
          <w:rFonts w:hint="eastAsia" w:ascii="仿宋_GB2312" w:hAnsi="仿宋_GB2312" w:eastAsia="仿宋_GB2312" w:cs="仿宋_GB2312"/>
          <w:kern w:val="0"/>
          <w:sz w:val="32"/>
          <w:szCs w:val="32"/>
        </w:rPr>
        <w:t>加强学生心理健康教育，</w:t>
      </w:r>
      <w:r>
        <w:rPr>
          <w:rFonts w:hint="eastAsia" w:ascii="仿宋_GB2312" w:hAnsi="仿宋_GB2312" w:eastAsia="仿宋_GB2312" w:cs="仿宋_GB2312"/>
          <w:kern w:val="0"/>
          <w:sz w:val="32"/>
          <w:szCs w:val="32"/>
          <w:lang w:val="en-US" w:eastAsia="zh-CN"/>
        </w:rPr>
        <w:t>对标制定并实施《申报省级心理健康中心工作方案》，</w:t>
      </w:r>
      <w:r>
        <w:rPr>
          <w:rFonts w:hint="eastAsia" w:ascii="仿宋_GB2312" w:hAnsi="仿宋_GB2312" w:eastAsia="仿宋_GB2312" w:cs="仿宋_GB2312"/>
          <w:kern w:val="0"/>
          <w:sz w:val="32"/>
          <w:szCs w:val="32"/>
        </w:rPr>
        <w:t>建立学生心理健康档案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为申报省级示范中心创造条件。</w:t>
      </w:r>
    </w:p>
    <w:p w14:paraId="5C5F7F71">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15.狠抓学风建设，激发学生学习内驱力</w:t>
      </w:r>
    </w:p>
    <w:p w14:paraId="2B0D18D5">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严格学业标准，改革学生评价，树立科学成才观念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催生学生学习内驱力，提升辅导员、学业导师（班主任）队伍建设质量，形成</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乐学、勤学、会学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优良学风，加强课堂检查，确保本科到课率不低于96%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以考研率、大学英语四级通过率、职业资格证书获得率、</w:t>
      </w:r>
      <w:r>
        <w:rPr>
          <w:rFonts w:hint="eastAsia" w:ascii="仿宋_GB2312" w:hAnsi="仿宋_GB2312" w:eastAsia="仿宋_GB2312" w:cs="仿宋_GB2312"/>
          <w:kern w:val="0"/>
          <w:sz w:val="32"/>
          <w:szCs w:val="32"/>
          <w:lang w:val="en-US" w:eastAsia="zh-CN"/>
        </w:rPr>
        <w:t>学生课外科技活动参与</w:t>
      </w:r>
      <w:r>
        <w:rPr>
          <w:rFonts w:hint="eastAsia" w:ascii="仿宋_GB2312" w:hAnsi="仿宋_GB2312" w:eastAsia="仿宋_GB2312" w:cs="仿宋_GB2312"/>
          <w:kern w:val="0"/>
          <w:sz w:val="32"/>
          <w:szCs w:val="32"/>
        </w:rPr>
        <w:t>率</w:t>
      </w:r>
      <w:r>
        <w:rPr>
          <w:rFonts w:hint="eastAsia" w:ascii="仿宋_GB2312" w:hAnsi="仿宋_GB2312" w:eastAsia="仿宋_GB2312" w:cs="仿宋_GB2312"/>
          <w:b/>
          <w:bCs/>
          <w:kern w:val="0"/>
          <w:sz w:val="32"/>
          <w:szCs w:val="32"/>
        </w:rPr>
        <w:t>“四率”</w:t>
      </w:r>
      <w:r>
        <w:rPr>
          <w:rFonts w:hint="eastAsia" w:ascii="仿宋_GB2312" w:hAnsi="仿宋_GB2312" w:eastAsia="仿宋_GB2312" w:cs="仿宋_GB2312"/>
          <w:kern w:val="0"/>
          <w:sz w:val="32"/>
          <w:szCs w:val="32"/>
        </w:rPr>
        <w:t>为突破口，狠抓教育教学质量提升</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激发学生学习内驱力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力争考研上线率不低于13%，大学英语四级通过率不低于73%，毕业生获职业资格证书比例不低于75%，学生参加课外科技、文化、艺术、体育竞赛及社会实践获奖不少于790项（其中A类不少于630项，B类不少于160项），省部级团队或个人社会实践（非专业类）获奖不少于10项</w:t>
      </w:r>
      <w:r>
        <w:rPr>
          <w:rFonts w:hint="eastAsia" w:ascii="仿宋_GB2312" w:hAnsi="仿宋_GB2312" w:eastAsia="仿宋_GB2312" w:cs="仿宋_GB2312"/>
          <w:kern w:val="0"/>
          <w:sz w:val="32"/>
          <w:szCs w:val="32"/>
        </w:rPr>
        <w:t>。支持各学院结合专业实际参加学科专业竞赛和课外科技文体竞赛，扩充参赛渠道。加强学习过程管理，严格课程考核和学分认定管理、学籍预警和留级制度</w:t>
      </w:r>
      <w:r>
        <w:rPr>
          <w:rFonts w:hint="eastAsia" w:ascii="仿宋_GB2312" w:hAnsi="仿宋_GB2312" w:eastAsia="仿宋_GB2312" w:cs="仿宋_GB2312"/>
          <w:b/>
          <w:kern w:val="0"/>
          <w:sz w:val="32"/>
          <w:szCs w:val="32"/>
        </w:rPr>
        <w:t>。</w:t>
      </w:r>
    </w:p>
    <w:p w14:paraId="410D369E">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16.扎实抓好招生工作</w:t>
      </w:r>
    </w:p>
    <w:p w14:paraId="49B1CBFA">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严格落实“阳光招生”，执行高校招生“十禁止”“30个不得”“八项基本要求”等纪律要求。</w:t>
      </w:r>
      <w:r>
        <w:rPr>
          <w:rFonts w:hint="eastAsia" w:ascii="仿宋_GB2312" w:hAnsi="仿宋_GB2312" w:eastAsia="仿宋_GB2312" w:cs="仿宋_GB2312"/>
          <w:kern w:val="0"/>
          <w:sz w:val="32"/>
          <w:szCs w:val="32"/>
        </w:rPr>
        <w:t>以提高生源质量</w:t>
      </w:r>
      <w:r>
        <w:rPr>
          <w:rFonts w:hint="eastAsia" w:ascii="仿宋_GB2312" w:hAnsi="仿宋_GB2312" w:eastAsia="仿宋_GB2312" w:cs="仿宋_GB2312"/>
          <w:kern w:val="0"/>
          <w:sz w:val="32"/>
          <w:szCs w:val="32"/>
          <w:lang w:val="en-US" w:eastAsia="zh-CN"/>
        </w:rPr>
        <w:t>和招生规模</w:t>
      </w:r>
      <w:r>
        <w:rPr>
          <w:rFonts w:hint="eastAsia" w:ascii="仿宋_GB2312" w:hAnsi="仿宋_GB2312" w:eastAsia="仿宋_GB2312" w:cs="仿宋_GB2312"/>
          <w:kern w:val="0"/>
          <w:sz w:val="32"/>
          <w:szCs w:val="32"/>
        </w:rPr>
        <w:t>为核心，以分片包干为手段，完善“三全招生”机制。</w:t>
      </w:r>
      <w:r>
        <w:rPr>
          <w:rFonts w:hint="eastAsia" w:ascii="仿宋_GB2312" w:hAnsi="仿宋_GB2312" w:eastAsia="仿宋_GB2312" w:cs="仿宋_GB2312"/>
          <w:kern w:val="0"/>
          <w:sz w:val="32"/>
          <w:szCs w:val="32"/>
          <w:lang w:val="en-US" w:eastAsia="zh-CN"/>
        </w:rPr>
        <w:t>配合专业调整和建设，</w:t>
      </w:r>
      <w:r>
        <w:rPr>
          <w:rFonts w:hint="eastAsia" w:ascii="仿宋_GB2312" w:hAnsi="仿宋_GB2312" w:eastAsia="仿宋_GB2312" w:cs="仿宋_GB2312"/>
          <w:kern w:val="0"/>
          <w:sz w:val="32"/>
          <w:szCs w:val="32"/>
        </w:rPr>
        <w:t>精心论证专业计划分配投放。分类施策，做好普通本专科、3+2联合培养、专升本等不同类型学生的招生工作。提早谋划招生宣传工作，加大网络宣传力度，</w:t>
      </w:r>
      <w:r>
        <w:rPr>
          <w:rFonts w:hint="eastAsia" w:ascii="仿宋_GB2312" w:hAnsi="仿宋_GB2312" w:eastAsia="仿宋_GB2312" w:cs="仿宋_GB2312"/>
          <w:kern w:val="0"/>
          <w:sz w:val="32"/>
          <w:szCs w:val="32"/>
          <w:lang w:val="en-US" w:eastAsia="zh-CN"/>
        </w:rPr>
        <w:t>优化完善招生宣传内容，</w:t>
      </w:r>
      <w:r>
        <w:rPr>
          <w:rFonts w:hint="eastAsia" w:ascii="仿宋_GB2312" w:hAnsi="仿宋_GB2312" w:eastAsia="仿宋_GB2312" w:cs="仿宋_GB2312"/>
          <w:kern w:val="0"/>
          <w:sz w:val="32"/>
          <w:szCs w:val="32"/>
        </w:rPr>
        <w:t>扩展优质生源基地，加强招生队伍专业化培训建设。确保录取分数线位居同类高校前</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名，新生报到率不低于95%。</w:t>
      </w:r>
    </w:p>
    <w:p w14:paraId="5EB189B6">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17.做实毕业生就业创业工作</w:t>
      </w:r>
    </w:p>
    <w:p w14:paraId="154060F4">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把毕业生就业工作作为重要的政治任务，坚持就业工作“一把手”工程。</w:t>
      </w:r>
      <w:r>
        <w:rPr>
          <w:rFonts w:hint="eastAsia" w:ascii="仿宋_GB2312" w:hAnsi="仿宋_GB2312" w:eastAsia="仿宋_GB2312" w:cs="仿宋_GB2312"/>
          <w:kern w:val="0"/>
          <w:sz w:val="32"/>
          <w:szCs w:val="32"/>
          <w:lang w:val="en-US" w:eastAsia="zh-CN"/>
        </w:rPr>
        <w:t>加强毕业生就业工作组织领导，组织全校就业工作人员和毕业班辅导员业务专项培训，用好“湖北省高校毕业生就业创业政策地图”，更大力度拓展市场化社会化就业渠道，组织开展“百企进校园计划”“访企拓岗专项行动”“名企高校携手促就业”活动。健全完善分阶段、全覆盖大学生生涯与就业指导体系，严格执行就业月报工作制。为学生提供个性化就业指导服务，实行毕业生就业“一人一档”，落实重点人群就业精准帮扶责任制。简化优化就职就业手续，建立毕业生去向登记制度。</w:t>
      </w:r>
      <w:r>
        <w:rPr>
          <w:rFonts w:hint="eastAsia" w:ascii="仿宋_GB2312" w:hAnsi="仿宋_GB2312" w:eastAsia="仿宋_GB2312" w:cs="仿宋_GB2312"/>
          <w:kern w:val="0"/>
          <w:sz w:val="32"/>
          <w:szCs w:val="32"/>
        </w:rPr>
        <w:t>确保本届毕业生就业总体稳定，就业率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对口就业率和签约率分别不低于</w:t>
      </w:r>
      <w:r>
        <w:rPr>
          <w:rFonts w:hint="eastAsia" w:ascii="仿宋_GB2312" w:hAnsi="仿宋_GB2312" w:eastAsia="仿宋_GB2312" w:cs="仿宋_GB2312"/>
          <w:kern w:val="0"/>
          <w:sz w:val="32"/>
          <w:szCs w:val="32"/>
        </w:rPr>
        <w:t>90%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82%、80%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完善就业与招生培养联动机制。开展</w:t>
      </w:r>
      <w:r>
        <w:rPr>
          <w:rFonts w:hint="eastAsia" w:ascii="仿宋_GB2312" w:hAnsi="仿宋_GB2312" w:eastAsia="仿宋_GB2312" w:cs="仿宋_GB2312"/>
          <w:kern w:val="0"/>
          <w:sz w:val="32"/>
          <w:szCs w:val="32"/>
        </w:rPr>
        <w:t>对1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10年的毕业生工作态度、专业水平、实践能力的综合评价跟踪调查工作。</w:t>
      </w:r>
      <w:r>
        <w:rPr>
          <w:rFonts w:hint="eastAsia" w:ascii="仿宋_GB2312" w:hAnsi="仿宋_GB2312" w:eastAsia="仿宋_GB2312" w:cs="仿宋_GB2312"/>
          <w:kern w:val="0"/>
          <w:sz w:val="32"/>
          <w:szCs w:val="32"/>
          <w:lang w:val="en-US" w:eastAsia="zh-CN"/>
        </w:rPr>
        <w:t>做实校友会工作。</w:t>
      </w:r>
    </w:p>
    <w:p w14:paraId="666EEDA0">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优化创业基地服务，</w:t>
      </w:r>
      <w:r>
        <w:rPr>
          <w:rFonts w:hint="eastAsia" w:ascii="仿宋_GB2312" w:hAnsi="仿宋_GB2312" w:eastAsia="仿宋_GB2312" w:cs="仿宋_GB2312"/>
          <w:kern w:val="0"/>
          <w:sz w:val="32"/>
          <w:szCs w:val="32"/>
          <w:lang w:val="en-US" w:eastAsia="zh-CN"/>
        </w:rPr>
        <w:t>获批省级</w:t>
      </w:r>
      <w:r>
        <w:rPr>
          <w:rFonts w:hint="eastAsia" w:ascii="仿宋_GB2312" w:hAnsi="仿宋_GB2312" w:eastAsia="仿宋_GB2312" w:cs="仿宋_GB2312"/>
          <w:kern w:val="0"/>
          <w:sz w:val="32"/>
          <w:szCs w:val="32"/>
        </w:rPr>
        <w:t>大学生创新创业示范</w:t>
      </w:r>
      <w:r>
        <w:rPr>
          <w:rFonts w:hint="eastAsia" w:ascii="仿宋_GB2312" w:hAnsi="仿宋_GB2312" w:eastAsia="仿宋_GB2312" w:cs="仿宋_GB2312"/>
          <w:kern w:val="0"/>
          <w:sz w:val="32"/>
          <w:szCs w:val="32"/>
          <w:lang w:val="en-US" w:eastAsia="zh-CN"/>
        </w:rPr>
        <w:t>基地，</w:t>
      </w:r>
      <w:r>
        <w:rPr>
          <w:rFonts w:hint="eastAsia" w:ascii="仿宋_GB2312" w:hAnsi="仿宋_GB2312" w:eastAsia="仿宋_GB2312" w:cs="仿宋_GB2312"/>
          <w:kern w:val="0"/>
          <w:sz w:val="32"/>
          <w:szCs w:val="32"/>
        </w:rPr>
        <w:t>培育国家级大学生创新创业示范高校，发挥创新创业学院推进创新创业教育和实践改革的主导作用。举办多彩多样的校园创业活动，扶持大学生创新工艺社等专业社团发展壮大</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积极组织学生参与创新创业训练计划，</w:t>
      </w:r>
      <w:r>
        <w:rPr>
          <w:rFonts w:hint="eastAsia" w:ascii="仿宋_GB2312" w:hAnsi="仿宋_GB2312" w:eastAsia="仿宋_GB2312" w:cs="仿宋_GB2312"/>
          <w:kern w:val="0"/>
          <w:sz w:val="32"/>
          <w:szCs w:val="32"/>
        </w:rPr>
        <w:t>学生获</w:t>
      </w:r>
      <w:r>
        <w:rPr>
          <w:rFonts w:hint="eastAsia" w:ascii="仿宋_GB2312" w:hAnsi="仿宋_GB2312" w:eastAsia="仿宋_GB2312" w:cs="仿宋_GB2312"/>
          <w:kern w:val="0"/>
          <w:sz w:val="32"/>
          <w:szCs w:val="32"/>
          <w:lang w:val="en-US" w:eastAsia="zh-CN"/>
        </w:rPr>
        <w:t>省级及以上</w:t>
      </w:r>
      <w:r>
        <w:rPr>
          <w:rFonts w:hint="eastAsia" w:ascii="仿宋_GB2312" w:hAnsi="仿宋_GB2312" w:eastAsia="仿宋_GB2312" w:cs="仿宋_GB2312"/>
          <w:kern w:val="0"/>
          <w:sz w:val="32"/>
          <w:szCs w:val="32"/>
        </w:rPr>
        <w:t>创新创业训练计划项目</w:t>
      </w:r>
      <w:r>
        <w:rPr>
          <w:rFonts w:hint="eastAsia" w:ascii="仿宋_GB2312" w:hAnsi="仿宋_GB2312" w:eastAsia="仿宋_GB2312" w:cs="仿宋_GB2312"/>
          <w:kern w:val="0"/>
          <w:sz w:val="32"/>
          <w:szCs w:val="32"/>
          <w:lang w:val="en-US" w:eastAsia="zh-CN"/>
        </w:rPr>
        <w:t>不少于56项，其中国家级15项</w:t>
      </w:r>
      <w:r>
        <w:rPr>
          <w:rFonts w:hint="eastAsia" w:ascii="仿宋_GB2312" w:hAnsi="仿宋_GB2312" w:eastAsia="仿宋_GB2312" w:cs="仿宋_GB2312"/>
          <w:kern w:val="0"/>
          <w:sz w:val="32"/>
          <w:szCs w:val="32"/>
        </w:rPr>
        <w:t>。完善学科专业竞赛体系，加大对学生参加学科专业竞赛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特别是学校确定的A+级赛事的支持指导力度，打造以“互联网+”“挑战杯”等高水平赛事为龙头的科技文化活动体系，</w:t>
      </w:r>
      <w:r>
        <w:rPr>
          <w:rFonts w:hint="eastAsia" w:ascii="仿宋_GB2312" w:hAnsi="仿宋_GB2312" w:eastAsia="仿宋_GB2312" w:cs="仿宋_GB2312"/>
          <w:kern w:val="0"/>
          <w:sz w:val="32"/>
          <w:szCs w:val="32"/>
          <w:lang w:val="en-US" w:eastAsia="zh-CN"/>
        </w:rPr>
        <w:t>年内组织大学生参加A类学科竞赛获奖575项，B类学科竞赛获奖200项，</w:t>
      </w:r>
      <w:r>
        <w:rPr>
          <w:rFonts w:hint="eastAsia" w:ascii="仿宋_GB2312" w:hAnsi="仿宋_GB2312" w:eastAsia="仿宋_GB2312" w:cs="仿宋_GB2312"/>
          <w:kern w:val="0"/>
          <w:sz w:val="32"/>
          <w:szCs w:val="32"/>
        </w:rPr>
        <w:t>着力扩大参赛项目和参赛学生覆盖面</w:t>
      </w:r>
      <w:r>
        <w:rPr>
          <w:rFonts w:hint="eastAsia" w:ascii="仿宋_GB2312" w:hAnsi="仿宋_GB2312" w:eastAsia="仿宋_GB2312" w:cs="仿宋_GB2312"/>
          <w:kern w:val="0"/>
          <w:sz w:val="32"/>
          <w:szCs w:val="32"/>
          <w:lang w:eastAsia="zh-CN"/>
        </w:rPr>
        <w:t>。</w:t>
      </w:r>
    </w:p>
    <w:p w14:paraId="78B2B3D0">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五</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加强人才队伍建设</w:t>
      </w:r>
      <w:r>
        <w:rPr>
          <w:rFonts w:ascii="Times New Roman" w:hAnsi="Times New Roman" w:eastAsia="黑体" w:cs="Times New Roman"/>
          <w:kern w:val="0"/>
          <w:sz w:val="32"/>
          <w:szCs w:val="32"/>
        </w:rPr>
        <w:t>，着力</w:t>
      </w:r>
      <w:r>
        <w:rPr>
          <w:rFonts w:hint="eastAsia" w:ascii="Times New Roman" w:hAnsi="Times New Roman" w:eastAsia="黑体" w:cs="Times New Roman"/>
          <w:kern w:val="0"/>
          <w:sz w:val="32"/>
          <w:szCs w:val="32"/>
        </w:rPr>
        <w:t>提升师资队伍整体水平</w:t>
      </w:r>
    </w:p>
    <w:p w14:paraId="7C147C7B">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18.加强师德师风建设，严肃查处师德失范行为</w:t>
      </w:r>
    </w:p>
    <w:p w14:paraId="29E0840A">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坚持师德师风第一标准，开展教师思想状况调查，将师德考核贯穿教育教学全过程。</w:t>
      </w:r>
      <w:r>
        <w:rPr>
          <w:rFonts w:hint="eastAsia" w:ascii="仿宋_GB2312" w:hAnsi="仿宋_GB2312" w:eastAsia="仿宋_GB2312" w:cs="仿宋_GB2312"/>
          <w:kern w:val="0"/>
          <w:sz w:val="32"/>
          <w:szCs w:val="32"/>
          <w:lang w:val="en-US" w:eastAsia="zh-CN"/>
        </w:rPr>
        <w:t>出台</w:t>
      </w:r>
      <w:r>
        <w:rPr>
          <w:rFonts w:hint="eastAsia" w:ascii="仿宋_GB2312" w:hAnsi="仿宋_GB2312" w:eastAsia="仿宋_GB2312" w:cs="仿宋_GB2312"/>
          <w:kern w:val="0"/>
          <w:sz w:val="32"/>
          <w:szCs w:val="32"/>
        </w:rPr>
        <w:t>《师德师风负面清单和失范行为处理办法》，</w:t>
      </w:r>
      <w:r>
        <w:rPr>
          <w:rFonts w:hint="eastAsia" w:ascii="仿宋_GB2312" w:hAnsi="仿宋_GB2312" w:eastAsia="仿宋_GB2312" w:cs="仿宋_GB2312"/>
          <w:kern w:val="0"/>
          <w:sz w:val="32"/>
          <w:szCs w:val="32"/>
          <w:lang w:val="en-US" w:eastAsia="zh-CN"/>
        </w:rPr>
        <w:t>“零容忍”</w:t>
      </w:r>
      <w:r>
        <w:rPr>
          <w:rFonts w:hint="eastAsia" w:ascii="仿宋_GB2312" w:hAnsi="仿宋_GB2312" w:eastAsia="仿宋_GB2312" w:cs="仿宋_GB2312"/>
          <w:kern w:val="0"/>
          <w:sz w:val="32"/>
          <w:szCs w:val="32"/>
        </w:rPr>
        <w:t>查处师德违规行为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严肃查处休假式挂职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休假式</w:t>
      </w:r>
      <w:r>
        <w:rPr>
          <w:rFonts w:hint="eastAsia" w:ascii="仿宋_GB2312" w:hAnsi="仿宋_GB2312" w:eastAsia="仿宋_GB2312" w:cs="仿宋_GB2312"/>
          <w:kern w:val="0"/>
          <w:sz w:val="32"/>
          <w:szCs w:val="32"/>
        </w:rPr>
        <w:t>访学现象。</w:t>
      </w:r>
      <w:r>
        <w:rPr>
          <w:rFonts w:hint="eastAsia" w:ascii="仿宋_GB2312" w:hAnsi="仿宋_GB2312" w:eastAsia="仿宋_GB2312" w:cs="仿宋_GB2312"/>
          <w:kern w:val="0"/>
          <w:sz w:val="32"/>
          <w:szCs w:val="32"/>
          <w:lang w:val="en-US" w:eastAsia="zh-CN"/>
        </w:rPr>
        <w:t>积极参与省教育厅组织的“荆楚好老师群星计划”活动，评选推出一批荆楚好老师。</w:t>
      </w:r>
      <w:r>
        <w:rPr>
          <w:rFonts w:hint="eastAsia" w:ascii="仿宋_GB2312" w:hAnsi="仿宋_GB2312" w:eastAsia="仿宋_GB2312" w:cs="仿宋_GB2312"/>
          <w:kern w:val="0"/>
          <w:sz w:val="32"/>
          <w:szCs w:val="32"/>
        </w:rPr>
        <w:t>组织开展师德讲座、师风督查和师德建设月活动。</w:t>
      </w:r>
      <w:r>
        <w:rPr>
          <w:rFonts w:hint="eastAsia" w:ascii="仿宋_GB2312" w:hAnsi="仿宋_GB2312" w:eastAsia="仿宋_GB2312" w:cs="仿宋_GB2312"/>
          <w:kern w:val="0"/>
          <w:sz w:val="32"/>
          <w:szCs w:val="32"/>
          <w:lang w:val="en-US" w:eastAsia="zh-CN"/>
        </w:rPr>
        <w:t>组织2次教师思政状况调查，开展</w:t>
      </w:r>
      <w:r>
        <w:rPr>
          <w:rFonts w:hint="eastAsia" w:ascii="仿宋_GB2312" w:hAnsi="仿宋_GB2312" w:eastAsia="仿宋_GB2312" w:cs="仿宋_GB2312"/>
          <w:color w:val="000000" w:themeColor="text1"/>
          <w:sz w:val="32"/>
          <w:szCs w:val="32"/>
          <w14:textFill>
            <w14:solidFill>
              <w14:schemeClr w14:val="tx1"/>
            </w14:solidFill>
          </w14:textFill>
        </w:rPr>
        <w:t>2023年教师节暨“九·十教育奖章”评选表彰活动</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color w:val="000000" w:themeColor="text1"/>
          <w:sz w:val="32"/>
          <w:szCs w:val="32"/>
          <w14:textFill>
            <w14:solidFill>
              <w14:schemeClr w14:val="tx1"/>
            </w14:solidFill>
          </w14:textFill>
        </w:rPr>
        <w:t>“师德师风建设月”活动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9FA3210">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19.实施人才引进工程，加强教学、科研团队建设</w:t>
      </w:r>
    </w:p>
    <w:p w14:paraId="4A147F7B">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稳定现有人才队伍，加大人才引进力度，重点引进一批中青年博士人才、学科专业领军人才，引进博士学位教师不少于20人，比例达到</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%以上，</w:t>
      </w:r>
      <w:r>
        <w:rPr>
          <w:rFonts w:hint="eastAsia" w:ascii="仿宋_GB2312" w:hAnsi="仿宋_GB2312" w:eastAsia="仿宋_GB2312" w:cs="仿宋_GB2312"/>
          <w:kern w:val="0"/>
          <w:sz w:val="32"/>
          <w:szCs w:val="32"/>
          <w:lang w:val="en-US" w:eastAsia="zh-CN"/>
        </w:rPr>
        <w:t>聘请客座教授不少于15人，</w:t>
      </w:r>
      <w:r>
        <w:rPr>
          <w:rFonts w:hint="eastAsia" w:ascii="仿宋_GB2312" w:hAnsi="仿宋_GB2312" w:eastAsia="仿宋_GB2312" w:cs="仿宋_GB2312"/>
          <w:kern w:val="0"/>
          <w:sz w:val="32"/>
          <w:szCs w:val="32"/>
        </w:rPr>
        <w:t>新增引进楚天学者</w:t>
      </w:r>
      <w:r>
        <w:rPr>
          <w:rFonts w:hint="eastAsia" w:ascii="仿宋_GB2312" w:hAnsi="仿宋_GB2312" w:eastAsia="仿宋_GB2312" w:cs="仿宋_GB2312"/>
          <w:kern w:val="0"/>
          <w:sz w:val="32"/>
          <w:szCs w:val="32"/>
          <w:lang w:val="en-US" w:eastAsia="zh-CN"/>
        </w:rPr>
        <w:t>1人</w:t>
      </w:r>
      <w:r>
        <w:rPr>
          <w:rFonts w:hint="eastAsia" w:ascii="仿宋_GB2312" w:hAnsi="仿宋_GB2312" w:eastAsia="仿宋_GB2312" w:cs="仿宋_GB2312"/>
          <w:kern w:val="0"/>
          <w:sz w:val="32"/>
          <w:szCs w:val="32"/>
        </w:rPr>
        <w:t>，补齐新办专业、师资紧缺专业的师资短板。实施教学团队、科研团队培育计划，以教学名师和专业带头人为核心组建2个省级教学团队，以高层次人才为核心，以省级人才工程项目评选为契机，</w:t>
      </w:r>
      <w:r>
        <w:rPr>
          <w:rFonts w:hint="eastAsia" w:ascii="仿宋_GB2312" w:hAnsi="仿宋_GB2312" w:eastAsia="仿宋_GB2312" w:cs="仿宋_GB2312"/>
          <w:kern w:val="0"/>
          <w:sz w:val="32"/>
          <w:szCs w:val="32"/>
          <w:lang w:val="en-US" w:eastAsia="zh-CN"/>
        </w:rPr>
        <w:t>加强</w:t>
      </w:r>
      <w:r>
        <w:rPr>
          <w:rFonts w:hint="eastAsia" w:ascii="仿宋_GB2312" w:hAnsi="仿宋_GB2312" w:eastAsia="仿宋_GB2312" w:cs="仿宋_GB2312"/>
          <w:kern w:val="0"/>
          <w:sz w:val="32"/>
          <w:szCs w:val="32"/>
        </w:rPr>
        <w:t>省级科技创新团队</w:t>
      </w:r>
      <w:r>
        <w:rPr>
          <w:rFonts w:hint="eastAsia" w:ascii="仿宋_GB2312" w:hAnsi="仿宋_GB2312" w:eastAsia="仿宋_GB2312" w:cs="仿宋_GB2312"/>
          <w:kern w:val="0"/>
          <w:sz w:val="32"/>
          <w:szCs w:val="32"/>
          <w:lang w:val="en-US" w:eastAsia="zh-CN"/>
        </w:rPr>
        <w:t>建设</w:t>
      </w:r>
      <w:r>
        <w:rPr>
          <w:rFonts w:hint="eastAsia" w:ascii="仿宋_GB2312" w:hAnsi="仿宋_GB2312" w:eastAsia="仿宋_GB2312" w:cs="仿宋_GB2312"/>
          <w:kern w:val="0"/>
          <w:sz w:val="32"/>
          <w:szCs w:val="32"/>
        </w:rPr>
        <w:t>。进一步</w:t>
      </w:r>
      <w:r>
        <w:rPr>
          <w:rFonts w:hint="eastAsia" w:ascii="仿宋_GB2312" w:hAnsi="仿宋_GB2312" w:eastAsia="仿宋_GB2312" w:cs="仿宋_GB2312"/>
          <w:kern w:val="0"/>
          <w:sz w:val="32"/>
          <w:szCs w:val="32"/>
          <w:lang w:val="en-US" w:eastAsia="zh-CN"/>
        </w:rPr>
        <w:t>加强</w:t>
      </w:r>
      <w:r>
        <w:rPr>
          <w:rFonts w:hint="eastAsia" w:ascii="仿宋_GB2312" w:hAnsi="仿宋_GB2312" w:eastAsia="仿宋_GB2312" w:cs="仿宋_GB2312"/>
          <w:kern w:val="0"/>
          <w:sz w:val="32"/>
          <w:szCs w:val="32"/>
        </w:rPr>
        <w:t>“双师型”师资</w:t>
      </w:r>
      <w:r>
        <w:rPr>
          <w:rFonts w:hint="eastAsia" w:ascii="仿宋_GB2312" w:hAnsi="仿宋_GB2312" w:eastAsia="仿宋_GB2312" w:cs="仿宋_GB2312"/>
          <w:kern w:val="0"/>
          <w:sz w:val="32"/>
          <w:szCs w:val="32"/>
          <w:lang w:val="en-US" w:eastAsia="zh-CN"/>
        </w:rPr>
        <w:t>建设</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年内承担教学任务的企业行业教师不少于290人，安排专任教师到企事业单位挂职不低于110人次。</w:t>
      </w:r>
      <w:r>
        <w:rPr>
          <w:rFonts w:hint="eastAsia" w:ascii="仿宋_GB2312" w:hAnsi="仿宋_GB2312" w:eastAsia="仿宋_GB2312" w:cs="仿宋_GB2312"/>
          <w:kern w:val="0"/>
          <w:sz w:val="32"/>
          <w:szCs w:val="32"/>
        </w:rPr>
        <w:t>丰富兼职教师资源库，建立相对稳定的兼职教师队伍。</w:t>
      </w:r>
    </w:p>
    <w:p w14:paraId="0493F993">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20.实施人才培养工程，改革职称评聘</w:t>
      </w:r>
    </w:p>
    <w:p w14:paraId="69F5951C">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结合薪酬调整，改革专任教师工作任务和考核规则，明确各级各类专业技术职务人员的教学、教研、科研和公共事务工作任务</w:t>
      </w:r>
      <w:r>
        <w:rPr>
          <w:rFonts w:hint="eastAsia" w:ascii="Times New Roman" w:hAnsi="Times New Roman" w:eastAsia="仿宋_GB2312" w:cs="Times New Roman"/>
          <w:kern w:val="0"/>
          <w:sz w:val="32"/>
          <w:szCs w:val="32"/>
        </w:rPr>
        <w:t>。发挥</w:t>
      </w:r>
      <w:r>
        <w:rPr>
          <w:rFonts w:hint="eastAsia" w:ascii="Times New Roman" w:hAnsi="Times New Roman" w:eastAsia="仿宋_GB2312" w:cs="Times New Roman"/>
          <w:b w:val="0"/>
          <w:bCs w:val="0"/>
          <w:kern w:val="0"/>
          <w:sz w:val="32"/>
          <w:szCs w:val="32"/>
        </w:rPr>
        <w:t>教师发展中心</w:t>
      </w:r>
      <w:r>
        <w:rPr>
          <w:rFonts w:hint="eastAsia" w:ascii="Times New Roman" w:hAnsi="Times New Roman" w:eastAsia="仿宋_GB2312" w:cs="Times New Roman"/>
          <w:kern w:val="0"/>
          <w:sz w:val="32"/>
          <w:szCs w:val="32"/>
        </w:rPr>
        <w:t>功能，分类指导教职工建立职业发展规划，将习近平新时代中国特色社会主义思想、习近平总书记关于教育的重要论述作为教职工培训的必修课和重要内容</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rPr>
        <w:t>构建教师自我培训、校本培训和访学研修、企业挂职等相结合的培训体系，采取线上线下相结合的培训方式，</w:t>
      </w:r>
      <w:r>
        <w:rPr>
          <w:rFonts w:hint="eastAsia" w:ascii="Times New Roman" w:hAnsi="Times New Roman" w:eastAsia="仿宋_GB2312" w:cs="Times New Roman"/>
          <w:kern w:val="0"/>
          <w:sz w:val="32"/>
          <w:szCs w:val="32"/>
          <w:lang w:val="en-US" w:eastAsia="zh-CN"/>
        </w:rPr>
        <w:t>完善教师微格课程体系，</w:t>
      </w:r>
      <w:r>
        <w:rPr>
          <w:rFonts w:hint="eastAsia" w:ascii="Times New Roman" w:hAnsi="Times New Roman" w:eastAsia="仿宋_GB2312" w:cs="Times New Roman"/>
          <w:kern w:val="0"/>
          <w:sz w:val="32"/>
          <w:szCs w:val="32"/>
        </w:rPr>
        <w:t>注重新进教职工的岗前培训。</w:t>
      </w:r>
      <w:r>
        <w:rPr>
          <w:rFonts w:hint="eastAsia" w:ascii="Times New Roman" w:hAnsi="Times New Roman" w:eastAsia="仿宋_GB2312" w:cs="Times New Roman"/>
          <w:kern w:val="0"/>
          <w:sz w:val="32"/>
          <w:szCs w:val="32"/>
          <w:lang w:val="en-US" w:eastAsia="zh-CN"/>
        </w:rPr>
        <w:t>完善“低职高聘”“高职低聘”的职称动态升降机制，</w:t>
      </w:r>
      <w:r>
        <w:rPr>
          <w:rFonts w:hint="eastAsia" w:ascii="Times New Roman" w:hAnsi="Times New Roman" w:eastAsia="仿宋_GB2312" w:cs="Times New Roman"/>
          <w:kern w:val="0"/>
          <w:sz w:val="32"/>
          <w:szCs w:val="32"/>
        </w:rPr>
        <w:t>充分发挥职称评聘在选拔人才、评价人才、鼓励人才方面的导向作用，修订完善职称申报评审相关制度，突出教育教学实绩，强化一线学生工作，突出成果质量导向，探索实行评聘分离。</w:t>
      </w:r>
    </w:p>
    <w:p w14:paraId="7A3A5428">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六</w:t>
      </w:r>
      <w:r>
        <w:rPr>
          <w:rFonts w:ascii="Times New Roman" w:hAnsi="Times New Roman" w:eastAsia="黑体" w:cs="Times New Roman"/>
          <w:kern w:val="0"/>
          <w:sz w:val="32"/>
          <w:szCs w:val="32"/>
        </w:rPr>
        <w:t>、</w:t>
      </w:r>
      <w:r>
        <w:rPr>
          <w:rFonts w:hint="eastAsia" w:ascii="Times New Roman" w:hAnsi="Times New Roman" w:eastAsia="黑体" w:cs="Times New Roman"/>
          <w:kern w:val="0"/>
          <w:sz w:val="32"/>
          <w:szCs w:val="32"/>
        </w:rPr>
        <w:t>发挥</w:t>
      </w:r>
      <w:r>
        <w:rPr>
          <w:rFonts w:hint="eastAsia" w:ascii="Times New Roman" w:hAnsi="Times New Roman" w:eastAsia="黑体" w:cs="Times New Roman"/>
          <w:kern w:val="0"/>
          <w:sz w:val="32"/>
          <w:szCs w:val="32"/>
          <w:lang w:val="en-US" w:eastAsia="zh-CN"/>
        </w:rPr>
        <w:t>现代信息技术</w:t>
      </w:r>
      <w:r>
        <w:rPr>
          <w:rFonts w:hint="eastAsia" w:ascii="Times New Roman" w:hAnsi="Times New Roman" w:eastAsia="黑体" w:cs="Times New Roman"/>
          <w:kern w:val="0"/>
          <w:sz w:val="32"/>
          <w:szCs w:val="32"/>
        </w:rPr>
        <w:t>功能，</w:t>
      </w:r>
      <w:r>
        <w:rPr>
          <w:rFonts w:ascii="Times New Roman" w:hAnsi="Times New Roman" w:eastAsia="黑体" w:cs="Times New Roman"/>
          <w:kern w:val="0"/>
          <w:sz w:val="32"/>
          <w:szCs w:val="32"/>
        </w:rPr>
        <w:t xml:space="preserve">全面提升服务保障水平 </w:t>
      </w:r>
    </w:p>
    <w:p w14:paraId="7E3B5C76">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21.推进智慧校园建设提效</w:t>
      </w:r>
    </w:p>
    <w:p w14:paraId="5FA53052">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积极发展“互联网+教育”，推动信息技术与教育教学的深度融合和教育服务模式、学习方式的变革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提升教师信息技术应用能力和运行管理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教学资源配置效率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全面保障网络安全。加快实施教育信息化2.0行动计划和智慧校园建设，</w:t>
      </w:r>
      <w:r>
        <w:rPr>
          <w:rFonts w:hint="eastAsia" w:ascii="仿宋_GB2312" w:hAnsi="仿宋_GB2312" w:eastAsia="仿宋_GB2312" w:cs="仿宋_GB2312"/>
          <w:kern w:val="0"/>
          <w:sz w:val="32"/>
          <w:szCs w:val="32"/>
          <w:lang w:val="en-US" w:eastAsia="zh-CN"/>
        </w:rPr>
        <w:t>全面推进“十四五”信息化建设规划第一阶段任务，构建信息化标准规范及相关考评机制，推进“全校一张网、数据一个库、上网一个号、基础一平台、办事一个站”的校园信息化建设。改造中心机房，升级校园有线网络，实现教学区、公共区域无线网络全覆盖，开设VPN服务，完成两校区网络互联互通；制定学校数据标准和规范，建设学校全域数据中心，以人事、教务、学工、财务等主题数据域为权威数据源头，实现全校一数一源；统一师生编码和身份认证，实现一号通行、单点登录、应用漫游；搭建面向全校的云计算平台，提供统一的数据存储、中间件等基础环境；建设一网通办事大厅，整合各管理信息系统，上线OA系统、人事管理系统，开发移动端服务。</w:t>
      </w:r>
    </w:p>
    <w:p w14:paraId="7E1BF8B2">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22.加强服务保障和资源使用效果</w:t>
      </w:r>
    </w:p>
    <w:p w14:paraId="47C27D76">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ascii="Times New Roman" w:hAnsi="Times New Roman" w:eastAsia="黑体" w:cs="Times New Roman"/>
          <w:b/>
          <w:bCs/>
          <w:kern w:val="0"/>
          <w:sz w:val="32"/>
          <w:szCs w:val="32"/>
        </w:rPr>
      </w:pPr>
      <w:r>
        <w:rPr>
          <w:rFonts w:hint="eastAsia" w:ascii="Times New Roman" w:hAnsi="Times New Roman" w:eastAsia="仿宋_GB2312" w:cs="Times New Roman"/>
          <w:kern w:val="0"/>
          <w:sz w:val="32"/>
          <w:szCs w:val="32"/>
          <w:lang w:val="en-US" w:eastAsia="zh-CN"/>
        </w:rPr>
        <w:t>高质量实施武汉校区二期调规建设工程项目，保质保量完成学生配套设施用房建设、新建运动场工程、二次供水水池建设工程、教学楼改造装修、高压二次回路接通工作等重大项目，</w:t>
      </w:r>
      <w:r>
        <w:rPr>
          <w:rFonts w:hint="eastAsia" w:ascii="Times New Roman" w:hAnsi="Times New Roman" w:eastAsia="仿宋_GB2312" w:cs="Times New Roman"/>
          <w:kern w:val="0"/>
          <w:sz w:val="32"/>
          <w:szCs w:val="32"/>
        </w:rPr>
        <w:t>倒排工期，确保按时完工。</w:t>
      </w:r>
      <w:r>
        <w:rPr>
          <w:rFonts w:hint="eastAsia" w:ascii="Times New Roman" w:hAnsi="Times New Roman" w:eastAsia="仿宋_GB2312" w:cs="Times New Roman"/>
          <w:kern w:val="0"/>
          <w:sz w:val="32"/>
          <w:szCs w:val="32"/>
          <w:lang w:val="en-US" w:eastAsia="zh-CN"/>
        </w:rPr>
        <w:t>加大专业基础实验室和新专业实验室建设投入，重点做好公共机房建设、工程实训中心改建、融媒体实训中心建设、定格动画和机房建设、护理与健康管理实验室改造等建设项目。</w:t>
      </w:r>
      <w:r>
        <w:rPr>
          <w:rFonts w:hint="eastAsia" w:ascii="Times New Roman" w:hAnsi="Times New Roman" w:eastAsia="仿宋_GB2312" w:cs="Times New Roman"/>
          <w:kern w:val="0"/>
          <w:sz w:val="32"/>
          <w:szCs w:val="32"/>
        </w:rPr>
        <w:t>完善</w:t>
      </w:r>
      <w:r>
        <w:rPr>
          <w:rFonts w:hint="eastAsia" w:ascii="Times New Roman" w:hAnsi="Times New Roman" w:eastAsia="仿宋_GB2312" w:cs="Times New Roman"/>
          <w:kern w:val="0"/>
          <w:sz w:val="32"/>
          <w:szCs w:val="32"/>
          <w:lang w:val="en-US" w:eastAsia="zh-CN"/>
        </w:rPr>
        <w:t>南校区</w:t>
      </w:r>
      <w:r>
        <w:rPr>
          <w:rFonts w:hint="eastAsia" w:ascii="Times New Roman" w:hAnsi="Times New Roman" w:eastAsia="仿宋_GB2312" w:cs="Times New Roman"/>
          <w:kern w:val="0"/>
          <w:sz w:val="32"/>
          <w:szCs w:val="32"/>
        </w:rPr>
        <w:t>各项教学设施和工作生活设施，确保正常教学、工作、生活秩序。</w:t>
      </w:r>
      <w:r>
        <w:rPr>
          <w:rFonts w:hint="eastAsia" w:ascii="Times New Roman" w:hAnsi="Times New Roman" w:eastAsia="仿宋_GB2312" w:cs="Times New Roman"/>
          <w:kern w:val="0"/>
          <w:sz w:val="32"/>
          <w:szCs w:val="32"/>
          <w:lang w:val="en-US" w:eastAsia="zh-CN"/>
        </w:rPr>
        <w:t>推进“书香校园”建设，</w:t>
      </w:r>
      <w:r>
        <w:rPr>
          <w:rFonts w:ascii="Times New Roman" w:hAnsi="Times New Roman" w:eastAsia="仿宋_GB2312" w:cs="Times New Roman"/>
          <w:kern w:val="0"/>
          <w:sz w:val="32"/>
          <w:szCs w:val="32"/>
        </w:rPr>
        <w:t>提升图书馆、档案馆管理服务水平。</w:t>
      </w:r>
      <w:r>
        <w:rPr>
          <w:rFonts w:hint="eastAsia" w:ascii="Times New Roman" w:hAnsi="Times New Roman" w:eastAsia="仿宋_GB2312" w:cs="Times New Roman"/>
          <w:kern w:val="0"/>
          <w:sz w:val="32"/>
          <w:szCs w:val="32"/>
        </w:rPr>
        <w:t>规范收费目录清单，确保学费缴费率不低于上年，保障“十四五”规划重点项目的实施</w:t>
      </w:r>
      <w:r>
        <w:rPr>
          <w:rFonts w:hint="eastAsia" w:ascii="Times New Roman" w:hAnsi="Times New Roman" w:eastAsia="仿宋_GB2312" w:cs="Times New Roman"/>
          <w:b/>
          <w:kern w:val="0"/>
          <w:sz w:val="32"/>
          <w:szCs w:val="32"/>
        </w:rPr>
        <w:t>。</w:t>
      </w:r>
    </w:p>
    <w:p w14:paraId="29A1B294">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bookmarkStart w:id="4" w:name="_Hlk84576322"/>
      <w:r>
        <w:rPr>
          <w:rFonts w:hint="eastAsia" w:ascii="楷体_GB2312" w:hAnsi="楷体_GB2312" w:eastAsia="楷体_GB2312" w:cs="楷体_GB2312"/>
          <w:b/>
          <w:kern w:val="0"/>
          <w:sz w:val="32"/>
          <w:szCs w:val="32"/>
          <w:lang w:val="en-US" w:eastAsia="zh-CN"/>
        </w:rPr>
        <w:t>23.营造安全稳定校园环境</w:t>
      </w:r>
      <w:bookmarkEnd w:id="4"/>
    </w:p>
    <w:p w14:paraId="377B028F">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统筹</w:t>
      </w:r>
      <w:r>
        <w:rPr>
          <w:rFonts w:hint="eastAsia" w:ascii="Times New Roman" w:hAnsi="Times New Roman" w:eastAsia="仿宋_GB2312" w:cs="Times New Roman"/>
          <w:kern w:val="0"/>
          <w:sz w:val="32"/>
          <w:szCs w:val="32"/>
          <w:lang w:val="en-US" w:eastAsia="zh-CN"/>
        </w:rPr>
        <w:t>做好疫情防控工作，认真落实“乙类乙管”下疫情防控各项举措，“保健康、防重症”，最大程度保障师生健康。</w:t>
      </w:r>
      <w:r>
        <w:rPr>
          <w:rFonts w:hint="eastAsia" w:ascii="Times New Roman" w:hAnsi="Times New Roman" w:eastAsia="仿宋_GB2312" w:cs="Times New Roman"/>
          <w:kern w:val="0"/>
          <w:sz w:val="32"/>
          <w:szCs w:val="32"/>
        </w:rPr>
        <w:t>强化校园治安管理和各项安全防范措施，严格校门登记管理和师生活动、出行备案审批。深入分析疫情、舆情、社情、校情，</w:t>
      </w:r>
      <w:r>
        <w:rPr>
          <w:rFonts w:ascii="Times New Roman" w:hAnsi="Times New Roman" w:eastAsia="仿宋_GB2312" w:cs="Times New Roman"/>
          <w:kern w:val="0"/>
          <w:sz w:val="32"/>
          <w:szCs w:val="32"/>
        </w:rPr>
        <w:t>做好敏感时期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重大节假日和</w:t>
      </w:r>
      <w:r>
        <w:rPr>
          <w:rFonts w:hint="eastAsia" w:ascii="Times New Roman" w:hAnsi="Times New Roman" w:eastAsia="仿宋_GB2312" w:cs="Times New Roman"/>
          <w:kern w:val="0"/>
          <w:sz w:val="32"/>
          <w:szCs w:val="32"/>
        </w:rPr>
        <w:t>疫情防控值班</w:t>
      </w:r>
      <w:r>
        <w:rPr>
          <w:rFonts w:ascii="Times New Roman" w:hAnsi="Times New Roman" w:eastAsia="仿宋_GB2312" w:cs="Times New Roman"/>
          <w:kern w:val="0"/>
          <w:sz w:val="32"/>
          <w:szCs w:val="32"/>
        </w:rPr>
        <w:t>工作</w:t>
      </w:r>
      <w:r>
        <w:rPr>
          <w:rFonts w:hint="eastAsia" w:ascii="Times New Roman" w:hAnsi="Times New Roman" w:eastAsia="仿宋_GB2312" w:cs="Times New Roman"/>
          <w:kern w:val="0"/>
          <w:sz w:val="32"/>
          <w:szCs w:val="32"/>
        </w:rPr>
        <w:t>，扎实推进平安校园“七防工程”</w:t>
      </w:r>
      <w:r>
        <w:rPr>
          <w:rFonts w:hint="eastAsia" w:ascii="Times New Roman" w:hAnsi="Times New Roman" w:eastAsia="仿宋_GB2312" w:cs="Times New Roman"/>
          <w:kern w:val="0"/>
          <w:sz w:val="32"/>
          <w:szCs w:val="32"/>
          <w:lang w:val="en-US" w:eastAsia="zh-CN"/>
        </w:rPr>
        <w:t>建设</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全面落实综合治理工作责任制，有效维护学校的安全与稳定。开展</w:t>
      </w:r>
      <w:r>
        <w:rPr>
          <w:rFonts w:hint="eastAsia" w:ascii="Times New Roman" w:hAnsi="Times New Roman" w:eastAsia="仿宋_GB2312" w:cs="Times New Roman"/>
          <w:kern w:val="0"/>
          <w:sz w:val="32"/>
          <w:szCs w:val="32"/>
          <w:lang w:val="en-US" w:eastAsia="zh-CN"/>
        </w:rPr>
        <w:t>人身财产安全、</w:t>
      </w:r>
      <w:r>
        <w:rPr>
          <w:rFonts w:hint="eastAsia" w:ascii="Times New Roman" w:hAnsi="Times New Roman" w:eastAsia="仿宋_GB2312" w:cs="Times New Roman"/>
          <w:kern w:val="0"/>
          <w:sz w:val="32"/>
          <w:szCs w:val="32"/>
        </w:rPr>
        <w:t>食品卫生安全、实验室安全、消防安全、校车安全、</w:t>
      </w:r>
      <w:r>
        <w:rPr>
          <w:rFonts w:hint="eastAsia" w:ascii="Times New Roman" w:hAnsi="Times New Roman" w:eastAsia="仿宋_GB2312" w:cs="Times New Roman"/>
          <w:kern w:val="0"/>
          <w:sz w:val="32"/>
          <w:szCs w:val="32"/>
          <w:lang w:val="en-US" w:eastAsia="zh-CN"/>
        </w:rPr>
        <w:t>燃气安全、特种设备安全、</w:t>
      </w:r>
      <w:r>
        <w:rPr>
          <w:rFonts w:hint="eastAsia" w:ascii="Times New Roman" w:hAnsi="Times New Roman" w:eastAsia="仿宋_GB2312" w:cs="Times New Roman"/>
          <w:kern w:val="0"/>
          <w:sz w:val="32"/>
          <w:szCs w:val="32"/>
        </w:rPr>
        <w:t>公共卫生安全及防溺水、防</w:t>
      </w:r>
      <w:r>
        <w:rPr>
          <w:rFonts w:hint="eastAsia" w:ascii="Times New Roman" w:hAnsi="Times New Roman" w:eastAsia="仿宋_GB2312" w:cs="Times New Roman"/>
          <w:kern w:val="0"/>
          <w:sz w:val="32"/>
          <w:szCs w:val="32"/>
          <w:lang w:val="en-US" w:eastAsia="zh-CN"/>
        </w:rPr>
        <w:t>电信诈骗</w:t>
      </w:r>
      <w:r>
        <w:rPr>
          <w:rFonts w:hint="eastAsia" w:ascii="Times New Roman" w:hAnsi="Times New Roman" w:eastAsia="仿宋_GB2312" w:cs="Times New Roman"/>
          <w:kern w:val="0"/>
          <w:sz w:val="32"/>
          <w:szCs w:val="32"/>
        </w:rPr>
        <w:t>等专项整治和突发事件应急处置演练，</w:t>
      </w:r>
      <w:r>
        <w:rPr>
          <w:rFonts w:hint="eastAsia" w:ascii="Times New Roman" w:hAnsi="Times New Roman" w:eastAsia="仿宋_GB2312" w:cs="Times New Roman"/>
          <w:kern w:val="0"/>
          <w:sz w:val="32"/>
          <w:szCs w:val="32"/>
          <w:lang w:val="en-US" w:eastAsia="zh-CN"/>
        </w:rPr>
        <w:t>坚决</w:t>
      </w:r>
      <w:r>
        <w:rPr>
          <w:rFonts w:hint="eastAsia" w:ascii="Times New Roman" w:hAnsi="Times New Roman" w:eastAsia="仿宋_GB2312" w:cs="Times New Roman"/>
          <w:kern w:val="0"/>
          <w:sz w:val="32"/>
          <w:szCs w:val="32"/>
        </w:rPr>
        <w:t>防范抵御宗教和邪教渗透，构建网格化管理、精细化服务、信息化支撑、开放共享的管理服务平台，</w:t>
      </w:r>
      <w:r>
        <w:rPr>
          <w:rFonts w:hint="eastAsia" w:ascii="Times New Roman" w:hAnsi="Times New Roman" w:eastAsia="仿宋_GB2312" w:cs="Times New Roman"/>
          <w:kern w:val="0"/>
          <w:sz w:val="32"/>
          <w:szCs w:val="32"/>
          <w:lang w:val="en-US" w:eastAsia="zh-CN"/>
        </w:rPr>
        <w:t>组织排查化解矛盾纠纷</w:t>
      </w:r>
      <w:r>
        <w:rPr>
          <w:rFonts w:hint="eastAsia" w:ascii="Times New Roman" w:hAnsi="Times New Roman" w:eastAsia="仿宋_GB2312" w:cs="Times New Roman"/>
          <w:kern w:val="0"/>
          <w:sz w:val="32"/>
          <w:szCs w:val="32"/>
        </w:rPr>
        <w:t>，确保两个校区不发生影响稳定的责任事故。</w:t>
      </w:r>
    </w:p>
    <w:p w14:paraId="25C8CEDA">
      <w:pPr>
        <w:keepNext w:val="0"/>
        <w:keepLines w:val="0"/>
        <w:pageBreakBefore w:val="0"/>
        <w:widowControl/>
        <w:kinsoku/>
        <w:wordWrap/>
        <w:overflowPunct/>
        <w:topLinePunct w:val="0"/>
        <w:autoSpaceDE/>
        <w:autoSpaceDN/>
        <w:bidi w:val="0"/>
        <w:adjustRightInd w:val="0"/>
        <w:snapToGrid w:val="0"/>
        <w:spacing w:line="588" w:lineRule="exact"/>
        <w:ind w:firstLine="561"/>
        <w:jc w:val="left"/>
        <w:textAlignment w:val="auto"/>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en-US" w:eastAsia="zh-CN"/>
        </w:rPr>
        <w:t>七、</w:t>
      </w:r>
      <w:r>
        <w:rPr>
          <w:rFonts w:hint="eastAsia" w:ascii="Times New Roman" w:hAnsi="Times New Roman" w:eastAsia="黑体" w:cs="Times New Roman"/>
          <w:kern w:val="0"/>
          <w:sz w:val="32"/>
          <w:szCs w:val="32"/>
        </w:rPr>
        <w:t>完善</w:t>
      </w:r>
      <w:r>
        <w:rPr>
          <w:rFonts w:hint="eastAsia" w:ascii="Times New Roman" w:hAnsi="Times New Roman" w:eastAsia="黑体" w:cs="Times New Roman"/>
          <w:kern w:val="0"/>
          <w:sz w:val="32"/>
          <w:szCs w:val="32"/>
          <w:lang w:val="en-US" w:eastAsia="zh-CN"/>
        </w:rPr>
        <w:t>考核评价</w:t>
      </w:r>
      <w:r>
        <w:rPr>
          <w:rFonts w:hint="eastAsia" w:ascii="Times New Roman" w:hAnsi="Times New Roman" w:eastAsia="黑体" w:cs="Times New Roman"/>
          <w:kern w:val="0"/>
          <w:sz w:val="32"/>
          <w:szCs w:val="32"/>
        </w:rPr>
        <w:t>，推动</w:t>
      </w:r>
      <w:r>
        <w:rPr>
          <w:rFonts w:hint="eastAsia" w:ascii="Times New Roman" w:hAnsi="Times New Roman" w:eastAsia="黑体" w:cs="Times New Roman"/>
          <w:kern w:val="0"/>
          <w:sz w:val="32"/>
          <w:szCs w:val="32"/>
          <w:lang w:val="en-US" w:eastAsia="zh-CN"/>
        </w:rPr>
        <w:t>教育教学改革</w:t>
      </w:r>
      <w:r>
        <w:rPr>
          <w:rFonts w:hint="eastAsia" w:ascii="Times New Roman" w:hAnsi="Times New Roman" w:eastAsia="黑体" w:cs="Times New Roman"/>
          <w:kern w:val="0"/>
          <w:sz w:val="32"/>
          <w:szCs w:val="32"/>
        </w:rPr>
        <w:t>建设</w:t>
      </w:r>
    </w:p>
    <w:p w14:paraId="4A1CCBCD">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24.系统推进教育教学管理评价机制改革</w:t>
      </w:r>
    </w:p>
    <w:p w14:paraId="38DBDE66">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以中央《深化新时代教育评价改革总体方案》为指南，深化学校、教师、学生评价改革，系统性改革单位（部门）、教职工绩效考核规则，明晰各类考核指标内涵，编制汇总各单位、各类人员工作职责，</w:t>
      </w:r>
      <w:r>
        <w:rPr>
          <w:rFonts w:hint="eastAsia" w:ascii="Times New Roman" w:hAnsi="Times New Roman" w:eastAsia="仿宋_GB2312" w:cs="Times New Roman"/>
          <w:kern w:val="0"/>
          <w:sz w:val="32"/>
          <w:szCs w:val="32"/>
        </w:rPr>
        <w:t>修订</w:t>
      </w:r>
      <w:r>
        <w:rPr>
          <w:rFonts w:hint="eastAsia" w:ascii="Times New Roman" w:hAnsi="Times New Roman" w:eastAsia="仿宋_GB2312" w:cs="Times New Roman"/>
          <w:kern w:val="0"/>
          <w:sz w:val="32"/>
          <w:szCs w:val="32"/>
          <w:lang w:val="en-US" w:eastAsia="zh-CN"/>
        </w:rPr>
        <w:t>完善</w:t>
      </w:r>
      <w:r>
        <w:rPr>
          <w:rFonts w:hint="eastAsia" w:ascii="Times New Roman" w:hAnsi="Times New Roman" w:eastAsia="仿宋_GB2312" w:cs="Times New Roman"/>
          <w:kern w:val="0"/>
          <w:sz w:val="32"/>
          <w:szCs w:val="32"/>
        </w:rPr>
        <w:t>考核评价、</w:t>
      </w:r>
      <w:r>
        <w:rPr>
          <w:rFonts w:hint="eastAsia" w:ascii="Times New Roman" w:hAnsi="Times New Roman" w:eastAsia="仿宋_GB2312" w:cs="Times New Roman"/>
          <w:kern w:val="0"/>
          <w:sz w:val="32"/>
          <w:szCs w:val="32"/>
          <w:lang w:val="en-US" w:eastAsia="zh-CN"/>
        </w:rPr>
        <w:t>教学工作量、科研管理、</w:t>
      </w:r>
      <w:r>
        <w:rPr>
          <w:rFonts w:hint="eastAsia" w:ascii="Times New Roman" w:hAnsi="Times New Roman" w:eastAsia="仿宋_GB2312" w:cs="Times New Roman"/>
          <w:kern w:val="0"/>
          <w:sz w:val="32"/>
          <w:szCs w:val="32"/>
        </w:rPr>
        <w:t>职称评聘有关管理制度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充分发挥</w:t>
      </w:r>
      <w:r>
        <w:rPr>
          <w:rFonts w:hint="eastAsia" w:ascii="Times New Roman" w:hAnsi="Times New Roman" w:eastAsia="仿宋_GB2312" w:cs="Times New Roman"/>
          <w:kern w:val="0"/>
          <w:sz w:val="32"/>
          <w:szCs w:val="32"/>
        </w:rPr>
        <w:t>目标责任制考核</w:t>
      </w:r>
      <w:r>
        <w:rPr>
          <w:rFonts w:hint="eastAsia" w:ascii="Times New Roman" w:hAnsi="Times New Roman" w:eastAsia="仿宋_GB2312" w:cs="Times New Roman"/>
          <w:kern w:val="0"/>
          <w:sz w:val="32"/>
          <w:szCs w:val="32"/>
          <w:lang w:val="en-US" w:eastAsia="zh-CN"/>
        </w:rPr>
        <w:t>的指挥棒作用</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结合南校区办学</w:t>
      </w:r>
      <w:r>
        <w:rPr>
          <w:rFonts w:hint="eastAsia" w:ascii="Times New Roman" w:hAnsi="Times New Roman" w:eastAsia="仿宋_GB2312" w:cs="Times New Roman"/>
          <w:kern w:val="0"/>
          <w:sz w:val="32"/>
          <w:szCs w:val="32"/>
          <w:lang w:val="en-US" w:eastAsia="zh-CN"/>
        </w:rPr>
        <w:t>情况和发展需要</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探索多校区管理模式，明确南校区发展定位、办学功能、学科布局等相关事项</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努力把南校区建设成为学校改革创新的试验田和高质量办学新的增长点</w:t>
      </w:r>
      <w:r>
        <w:rPr>
          <w:rFonts w:hint="eastAsia" w:ascii="Times New Roman" w:hAnsi="Times New Roman" w:eastAsia="仿宋_GB2312" w:cs="Times New Roman"/>
          <w:kern w:val="0"/>
          <w:sz w:val="32"/>
          <w:szCs w:val="32"/>
          <w:lang w:val="en-US" w:eastAsia="zh-CN"/>
        </w:rPr>
        <w:t>。</w:t>
      </w:r>
    </w:p>
    <w:p w14:paraId="5E9208D6">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default"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25.开展“十四五”规划中期评估</w:t>
      </w:r>
    </w:p>
    <w:p w14:paraId="777F4EE8">
      <w:pPr>
        <w:keepNext w:val="0"/>
        <w:keepLines w:val="0"/>
        <w:pageBreakBefore w:val="0"/>
        <w:widowControl/>
        <w:kinsoku/>
        <w:wordWrap/>
        <w:overflowPunct/>
        <w:topLinePunct w:val="0"/>
        <w:autoSpaceDE/>
        <w:autoSpaceDN/>
        <w:bidi w:val="0"/>
        <w:adjustRightInd w:val="0"/>
        <w:snapToGrid w:val="0"/>
        <w:spacing w:line="588"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深入实施学校“十四五”发展规划，</w:t>
      </w:r>
      <w:r>
        <w:rPr>
          <w:rFonts w:hint="eastAsia" w:ascii="Times New Roman" w:hAnsi="Times New Roman" w:eastAsia="仿宋_GB2312" w:cs="Times New Roman"/>
          <w:kern w:val="0"/>
          <w:sz w:val="32"/>
          <w:szCs w:val="32"/>
          <w:lang w:val="en-US" w:eastAsia="zh-CN"/>
        </w:rPr>
        <w:t>开展规划实施中期检查评估。围绕学校建设发展和审核评估提出的新目标新任务，全面评估“十四五”规划实施情况，重点检查学校目标指标完成度、重点项目推进度和规划措施实施度，客观评价进展成效，总结提炼经验做法，深入剖析问题原因，提出改进对策建议，进一步强化发展规划战略导向作用，强化中期评估促改促建功能，确保高质量完成“十四五”规划目标任务</w:t>
      </w:r>
      <w:r>
        <w:rPr>
          <w:rFonts w:hint="eastAsia" w:ascii="Times New Roman" w:hAnsi="Times New Roman" w:eastAsia="仿宋_GB2312" w:cs="Times New Roman"/>
          <w:kern w:val="0"/>
          <w:sz w:val="32"/>
          <w:szCs w:val="32"/>
        </w:rPr>
        <w:t>。</w:t>
      </w:r>
    </w:p>
    <w:p w14:paraId="7D0BCD4E">
      <w:pPr>
        <w:keepNext w:val="0"/>
        <w:keepLines w:val="0"/>
        <w:pageBreakBefore w:val="0"/>
        <w:widowControl/>
        <w:kinsoku/>
        <w:wordWrap/>
        <w:overflowPunct/>
        <w:topLinePunct w:val="0"/>
        <w:autoSpaceDE/>
        <w:autoSpaceDN/>
        <w:bidi w:val="0"/>
        <w:adjustRightInd w:val="0"/>
        <w:snapToGrid w:val="0"/>
        <w:spacing w:line="588" w:lineRule="exact"/>
        <w:ind w:firstLine="643" w:firstLineChars="200"/>
        <w:jc w:val="left"/>
        <w:textAlignment w:val="auto"/>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lang w:val="en-US" w:eastAsia="zh-CN"/>
        </w:rPr>
        <w:t>26.与时俱进完善制度体系</w:t>
      </w:r>
    </w:p>
    <w:p w14:paraId="4A9B4ED2">
      <w:pPr>
        <w:keepNext w:val="0"/>
        <w:keepLines w:val="0"/>
        <w:pageBreakBefore w:val="0"/>
        <w:widowControl/>
        <w:kinsoku/>
        <w:wordWrap/>
        <w:overflowPunct/>
        <w:topLinePunct w:val="0"/>
        <w:autoSpaceDE/>
        <w:autoSpaceDN/>
        <w:bidi w:val="0"/>
        <w:adjustRightInd w:val="0"/>
        <w:snapToGrid w:val="0"/>
        <w:spacing w:line="588" w:lineRule="exact"/>
        <w:ind w:firstLine="561"/>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坚持依法治校，规范办学。</w:t>
      </w:r>
      <w:r>
        <w:rPr>
          <w:rFonts w:hint="eastAsia" w:ascii="Times New Roman" w:hAnsi="Times New Roman" w:eastAsia="仿宋_GB2312" w:cs="Times New Roman"/>
          <w:kern w:val="0"/>
          <w:sz w:val="32"/>
          <w:szCs w:val="32"/>
          <w:lang w:val="en-US" w:eastAsia="zh-CN"/>
        </w:rPr>
        <w:t>按照上级部门统一部署，推进分类管理改革。针对学校发展新阶段新任务和南校区办学中的新情况新问题</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开展制度建设，全面审读修订《教学管理规章制度》，重点建立健全信息化管理以及涉及教师工作任务和考核的相关制度，</w:t>
      </w:r>
      <w:r>
        <w:rPr>
          <w:rFonts w:hint="eastAsia" w:ascii="Times New Roman" w:hAnsi="Times New Roman" w:eastAsia="仿宋_GB2312" w:cs="Times New Roman"/>
          <w:kern w:val="0"/>
          <w:sz w:val="32"/>
          <w:szCs w:val="32"/>
        </w:rPr>
        <w:t>构建系统完备、科学规范、运行有效的制度体系。加强制度宣传学习和执行情况检查。积极落实教师、学生的主体地位，</w:t>
      </w:r>
      <w:r>
        <w:rPr>
          <w:rFonts w:hint="eastAsia" w:ascii="Times New Roman" w:hAnsi="Times New Roman" w:eastAsia="仿宋_GB2312" w:cs="Times New Roman"/>
          <w:kern w:val="0"/>
          <w:sz w:val="32"/>
          <w:szCs w:val="32"/>
          <w:lang w:val="en-US" w:eastAsia="zh-CN"/>
        </w:rPr>
        <w:t>规范师生危机处理流程，有效化解矛盾纠纷，</w:t>
      </w:r>
      <w:r>
        <w:rPr>
          <w:rFonts w:hint="eastAsia" w:ascii="Times New Roman" w:hAnsi="Times New Roman" w:eastAsia="仿宋_GB2312" w:cs="Times New Roman"/>
          <w:kern w:val="0"/>
          <w:sz w:val="32"/>
          <w:szCs w:val="32"/>
        </w:rPr>
        <w:t>依法保障师生的合法权利</w:t>
      </w:r>
      <w:r>
        <w:rPr>
          <w:rFonts w:hint="eastAsia" w:ascii="Times New Roman" w:hAnsi="Times New Roman" w:eastAsia="仿宋_GB2312" w:cs="Times New Roman"/>
          <w:kern w:val="0"/>
          <w:sz w:val="32"/>
          <w:szCs w:val="32"/>
          <w:lang w:val="en-US" w:eastAsia="zh-CN"/>
        </w:rPr>
        <w:t>。</w:t>
      </w:r>
    </w:p>
    <w:p w14:paraId="1FE7A8D0">
      <w:pPr>
        <w:pStyle w:val="2"/>
        <w:rPr>
          <w:rFonts w:hint="eastAsia" w:ascii="Times New Roman" w:hAnsi="Times New Roman" w:eastAsia="仿宋_GB2312" w:cs="Times New Roman"/>
          <w:kern w:val="0"/>
          <w:sz w:val="32"/>
          <w:szCs w:val="32"/>
          <w:lang w:val="en-US" w:eastAsia="zh-CN"/>
        </w:rPr>
      </w:pPr>
    </w:p>
    <w:p w14:paraId="1781AF7B">
      <w:pPr>
        <w:pStyle w:val="2"/>
        <w:rPr>
          <w:rFonts w:hint="eastAsia" w:ascii="Times New Roman" w:hAnsi="Times New Roman" w:eastAsia="仿宋_GB2312" w:cs="Times New Roman"/>
          <w:kern w:val="0"/>
          <w:sz w:val="32"/>
          <w:szCs w:val="32"/>
          <w:lang w:val="en-US" w:eastAsia="zh-CN"/>
        </w:rPr>
      </w:pPr>
    </w:p>
    <w:p w14:paraId="19C038DE">
      <w:pPr>
        <w:pStyle w:val="2"/>
        <w:rPr>
          <w:rFonts w:hint="eastAsia" w:ascii="Times New Roman" w:hAnsi="Times New Roman" w:eastAsia="仿宋_GB2312" w:cs="Times New Roman"/>
          <w:kern w:val="0"/>
          <w:sz w:val="32"/>
          <w:szCs w:val="32"/>
          <w:lang w:val="en-US" w:eastAsia="zh-CN"/>
        </w:rPr>
      </w:pPr>
    </w:p>
    <w:p w14:paraId="7406BB1E">
      <w:pPr>
        <w:pStyle w:val="2"/>
        <w:rPr>
          <w:rFonts w:hint="eastAsia" w:ascii="Times New Roman" w:hAnsi="Times New Roman" w:eastAsia="仿宋_GB2312" w:cs="Times New Roman"/>
          <w:kern w:val="0"/>
          <w:sz w:val="32"/>
          <w:szCs w:val="32"/>
          <w:lang w:val="en-US" w:eastAsia="zh-CN"/>
        </w:rPr>
      </w:pPr>
    </w:p>
    <w:p w14:paraId="01E72F55">
      <w:pPr>
        <w:pStyle w:val="2"/>
        <w:rPr>
          <w:rFonts w:hint="eastAsia" w:ascii="Times New Roman" w:hAnsi="Times New Roman" w:eastAsia="仿宋_GB2312" w:cs="Times New Roman"/>
          <w:kern w:val="0"/>
          <w:sz w:val="32"/>
          <w:szCs w:val="32"/>
          <w:lang w:val="en-US" w:eastAsia="zh-CN"/>
        </w:rPr>
      </w:pPr>
    </w:p>
    <w:tbl>
      <w:tblPr>
        <w:tblStyle w:val="6"/>
        <w:tblpPr w:leftFromText="180" w:rightFromText="180" w:vertAnchor="text" w:horzAnchor="page" w:tblpX="1630" w:tblpY="11664"/>
        <w:tblOverlap w:val="never"/>
        <w:tblW w:w="0" w:type="auto"/>
        <w:jc w:val="center"/>
        <w:tblLayout w:type="fixed"/>
        <w:tblCellMar>
          <w:top w:w="0" w:type="dxa"/>
          <w:left w:w="108" w:type="dxa"/>
          <w:bottom w:w="0" w:type="dxa"/>
          <w:right w:w="108" w:type="dxa"/>
        </w:tblCellMar>
      </w:tblPr>
      <w:tblGrid>
        <w:gridCol w:w="8732"/>
      </w:tblGrid>
      <w:tr w14:paraId="79631220">
        <w:tblPrEx>
          <w:tblCellMar>
            <w:top w:w="0" w:type="dxa"/>
            <w:left w:w="108" w:type="dxa"/>
            <w:bottom w:w="0" w:type="dxa"/>
            <w:right w:w="108" w:type="dxa"/>
          </w:tblCellMar>
        </w:tblPrEx>
        <w:trPr>
          <w:trHeight w:val="510" w:hRule="exact"/>
          <w:jc w:val="center"/>
        </w:trPr>
        <w:tc>
          <w:tcPr>
            <w:tcW w:w="8732" w:type="dxa"/>
            <w:tcBorders>
              <w:top w:val="single" w:color="auto" w:sz="8" w:space="0"/>
              <w:left w:val="nil"/>
              <w:bottom w:val="single" w:color="auto" w:sz="4" w:space="0"/>
              <w:right w:val="nil"/>
            </w:tcBorders>
            <w:noWrap w:val="0"/>
            <w:vAlign w:val="center"/>
          </w:tcPr>
          <w:p w14:paraId="6AFAE78B">
            <w:pPr>
              <w:spacing w:line="440" w:lineRule="exact"/>
              <w:ind w:right="210" w:rightChars="100" w:firstLine="280" w:firstLineChars="100"/>
              <w:rPr>
                <w:rFonts w:hint="eastAsia" w:eastAsia="黑体"/>
                <w:b/>
                <w:bCs/>
                <w:sz w:val="28"/>
                <w:szCs w:val="28"/>
              </w:rPr>
            </w:pPr>
            <w:r>
              <w:rPr>
                <w:rFonts w:hint="eastAsia" w:eastAsia="仿宋_GB2312"/>
                <w:sz w:val="28"/>
                <w:szCs w:val="28"/>
              </w:rPr>
              <w:t>抄送：全体校领导。</w:t>
            </w:r>
          </w:p>
        </w:tc>
      </w:tr>
      <w:tr w14:paraId="06241AD7">
        <w:tblPrEx>
          <w:tblCellMar>
            <w:top w:w="0" w:type="dxa"/>
            <w:left w:w="108" w:type="dxa"/>
            <w:bottom w:w="0" w:type="dxa"/>
            <w:right w:w="108" w:type="dxa"/>
          </w:tblCellMar>
        </w:tblPrEx>
        <w:trPr>
          <w:trHeight w:val="510" w:hRule="exact"/>
          <w:jc w:val="center"/>
        </w:trPr>
        <w:tc>
          <w:tcPr>
            <w:tcW w:w="8732" w:type="dxa"/>
            <w:tcBorders>
              <w:top w:val="single" w:color="auto" w:sz="4" w:space="0"/>
              <w:bottom w:val="single" w:color="auto" w:sz="8" w:space="0"/>
            </w:tcBorders>
            <w:noWrap w:val="0"/>
            <w:vAlign w:val="center"/>
          </w:tcPr>
          <w:p w14:paraId="42B0982F">
            <w:pPr>
              <w:spacing w:line="440" w:lineRule="exact"/>
              <w:ind w:right="210" w:rightChars="100" w:firstLine="280" w:firstLineChars="100"/>
              <w:rPr>
                <w:rFonts w:eastAsia="仿宋_GB2312"/>
                <w:sz w:val="28"/>
                <w:szCs w:val="28"/>
              </w:rPr>
            </w:pPr>
            <w:r>
              <w:rPr>
                <w:rFonts w:hint="eastAsia" w:eastAsia="仿宋_GB2312"/>
                <w:sz w:val="28"/>
                <w:szCs w:val="28"/>
              </w:rPr>
              <w:t>武汉东湖学院办公室</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ascii="Times New Roman" w:hAnsi="Times New Roman" w:eastAsia="仿宋_GB2312"/>
                <w:sz w:val="28"/>
                <w:szCs w:val="28"/>
              </w:rPr>
              <w:t>202</w:t>
            </w:r>
            <w:r>
              <w:rPr>
                <w:rFonts w:hint="eastAsia" w:ascii="Times New Roman" w:hAnsi="Times New Roman" w:eastAsia="仿宋_GB2312"/>
                <w:sz w:val="28"/>
                <w:szCs w:val="28"/>
                <w:lang w:val="en-US" w:eastAsia="zh-CN"/>
              </w:rPr>
              <w:t>3</w:t>
            </w:r>
            <w:r>
              <w:rPr>
                <w:rFonts w:hint="eastAsia" w:eastAsia="仿宋_GB2312"/>
                <w:sz w:val="28"/>
                <w:szCs w:val="28"/>
              </w:rPr>
              <w:t>年</w:t>
            </w:r>
            <w:r>
              <w:rPr>
                <w:rFonts w:hint="eastAsia" w:ascii="Times New Roman" w:hAnsi="Times New Roman" w:eastAsia="仿宋_GB2312"/>
                <w:sz w:val="28"/>
                <w:szCs w:val="28"/>
              </w:rPr>
              <w:t>2</w:t>
            </w:r>
            <w:r>
              <w:rPr>
                <w:rFonts w:hint="eastAsia" w:eastAsia="仿宋_GB2312"/>
                <w:sz w:val="28"/>
                <w:szCs w:val="28"/>
              </w:rPr>
              <w:t>月</w:t>
            </w:r>
            <w:r>
              <w:rPr>
                <w:rFonts w:hint="default" w:ascii="Times New Roman" w:hAnsi="Times New Roman" w:eastAsia="仿宋_GB2312" w:cs="Times New Roman"/>
                <w:sz w:val="28"/>
                <w:szCs w:val="28"/>
                <w:lang w:val="en-US" w:eastAsia="zh-CN"/>
              </w:rPr>
              <w:t>28</w:t>
            </w:r>
            <w:r>
              <w:rPr>
                <w:rFonts w:hint="eastAsia" w:eastAsia="仿宋_GB2312"/>
                <w:sz w:val="28"/>
                <w:szCs w:val="28"/>
              </w:rPr>
              <w:t>日印发</w:t>
            </w:r>
          </w:p>
        </w:tc>
      </w:tr>
    </w:tbl>
    <w:p w14:paraId="5B5C4DCA">
      <w:pPr>
        <w:pStyle w:val="2"/>
        <w:rPr>
          <w:rFonts w:hint="default" w:ascii="Times New Roman" w:hAnsi="Times New Roman" w:eastAsia="仿宋_GB2312" w:cs="Times New Roman"/>
          <w:kern w:val="0"/>
          <w:sz w:val="32"/>
          <w:szCs w:val="32"/>
          <w:lang w:val="en-US" w:eastAsia="zh-CN"/>
        </w:rPr>
      </w:pPr>
    </w:p>
    <w:sectPr>
      <w:pgSz w:w="11906" w:h="16838"/>
      <w:pgMar w:top="2098" w:right="1531" w:bottom="175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A51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03230226"/>
                          </w:sdtPr>
                          <w:sdtContent>
                            <w:p w14:paraId="7B7CBFA6">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sdtContent>
                        </w:sdt>
                        <w:p w14:paraId="10FD6C27">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303230226"/>
                    </w:sdtPr>
                    <w:sdtContent>
                      <w:p w14:paraId="7B7CBFA6">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sdtContent>
                  </w:sdt>
                  <w:p w14:paraId="10FD6C27">
                    <w:pPr>
                      <w:pStyle w:val="2"/>
                    </w:pPr>
                  </w:p>
                </w:txbxContent>
              </v:textbox>
            </v:shape>
          </w:pict>
        </mc:Fallback>
      </mc:AlternateContent>
    </w:r>
  </w:p>
  <w:p w14:paraId="1842A14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iMmU1NTMxN2NiYjdlMDFmODk0NjMwMjk0MTBjNTQifQ=="/>
  </w:docVars>
  <w:rsids>
    <w:rsidRoot w:val="00270DC2"/>
    <w:rsid w:val="0001451C"/>
    <w:rsid w:val="0001737E"/>
    <w:rsid w:val="00040D38"/>
    <w:rsid w:val="000421EE"/>
    <w:rsid w:val="00042383"/>
    <w:rsid w:val="00044EDC"/>
    <w:rsid w:val="000533D4"/>
    <w:rsid w:val="00055E1D"/>
    <w:rsid w:val="000628CD"/>
    <w:rsid w:val="00084A68"/>
    <w:rsid w:val="0009328D"/>
    <w:rsid w:val="00095F72"/>
    <w:rsid w:val="00096963"/>
    <w:rsid w:val="000A0265"/>
    <w:rsid w:val="000A260B"/>
    <w:rsid w:val="000A5B48"/>
    <w:rsid w:val="000B11C0"/>
    <w:rsid w:val="000E0BDE"/>
    <w:rsid w:val="000F5DC7"/>
    <w:rsid w:val="001027BD"/>
    <w:rsid w:val="00124F5D"/>
    <w:rsid w:val="00125DF8"/>
    <w:rsid w:val="001308C5"/>
    <w:rsid w:val="00130E95"/>
    <w:rsid w:val="00152626"/>
    <w:rsid w:val="001854A2"/>
    <w:rsid w:val="00197AFF"/>
    <w:rsid w:val="001D449B"/>
    <w:rsid w:val="001D5084"/>
    <w:rsid w:val="001F3D21"/>
    <w:rsid w:val="0020375C"/>
    <w:rsid w:val="002044E5"/>
    <w:rsid w:val="00221E9E"/>
    <w:rsid w:val="00223206"/>
    <w:rsid w:val="00226E0A"/>
    <w:rsid w:val="00234EAD"/>
    <w:rsid w:val="0025389A"/>
    <w:rsid w:val="00270DC2"/>
    <w:rsid w:val="00276330"/>
    <w:rsid w:val="00276C9C"/>
    <w:rsid w:val="0028591C"/>
    <w:rsid w:val="00292D44"/>
    <w:rsid w:val="00297BDF"/>
    <w:rsid w:val="002A53B6"/>
    <w:rsid w:val="002B26E9"/>
    <w:rsid w:val="002C088F"/>
    <w:rsid w:val="002C3916"/>
    <w:rsid w:val="002D742B"/>
    <w:rsid w:val="002E3F09"/>
    <w:rsid w:val="003027DC"/>
    <w:rsid w:val="0030777E"/>
    <w:rsid w:val="00315D48"/>
    <w:rsid w:val="0032036F"/>
    <w:rsid w:val="00321651"/>
    <w:rsid w:val="00346964"/>
    <w:rsid w:val="0035422C"/>
    <w:rsid w:val="00357512"/>
    <w:rsid w:val="003625E9"/>
    <w:rsid w:val="0036470F"/>
    <w:rsid w:val="00371228"/>
    <w:rsid w:val="0037740E"/>
    <w:rsid w:val="0039452A"/>
    <w:rsid w:val="00394738"/>
    <w:rsid w:val="003D5625"/>
    <w:rsid w:val="003E32C0"/>
    <w:rsid w:val="00414BA7"/>
    <w:rsid w:val="00422335"/>
    <w:rsid w:val="004272DC"/>
    <w:rsid w:val="00431C80"/>
    <w:rsid w:val="00435CD2"/>
    <w:rsid w:val="00447754"/>
    <w:rsid w:val="00475F1B"/>
    <w:rsid w:val="00482E15"/>
    <w:rsid w:val="00486F44"/>
    <w:rsid w:val="00496FB5"/>
    <w:rsid w:val="004A1352"/>
    <w:rsid w:val="004A5579"/>
    <w:rsid w:val="004C6F15"/>
    <w:rsid w:val="004F094F"/>
    <w:rsid w:val="004F3CF2"/>
    <w:rsid w:val="005137DD"/>
    <w:rsid w:val="0051544E"/>
    <w:rsid w:val="005308EC"/>
    <w:rsid w:val="00535E42"/>
    <w:rsid w:val="00541EB7"/>
    <w:rsid w:val="005530F6"/>
    <w:rsid w:val="0056658E"/>
    <w:rsid w:val="00567E8F"/>
    <w:rsid w:val="0058300C"/>
    <w:rsid w:val="00596143"/>
    <w:rsid w:val="005B1B2D"/>
    <w:rsid w:val="005B2D3E"/>
    <w:rsid w:val="005C2029"/>
    <w:rsid w:val="005E61D3"/>
    <w:rsid w:val="00604CF6"/>
    <w:rsid w:val="006244AE"/>
    <w:rsid w:val="00641AEF"/>
    <w:rsid w:val="006428BC"/>
    <w:rsid w:val="0065026B"/>
    <w:rsid w:val="00652FB6"/>
    <w:rsid w:val="006540BD"/>
    <w:rsid w:val="0067274D"/>
    <w:rsid w:val="0067569F"/>
    <w:rsid w:val="00682877"/>
    <w:rsid w:val="00695005"/>
    <w:rsid w:val="006B7C6D"/>
    <w:rsid w:val="006C2D52"/>
    <w:rsid w:val="006C65FA"/>
    <w:rsid w:val="006C7D67"/>
    <w:rsid w:val="006D20FF"/>
    <w:rsid w:val="006E04BE"/>
    <w:rsid w:val="006E5CE8"/>
    <w:rsid w:val="006F464C"/>
    <w:rsid w:val="006F6A98"/>
    <w:rsid w:val="0071284A"/>
    <w:rsid w:val="00712CF2"/>
    <w:rsid w:val="007406DC"/>
    <w:rsid w:val="00762990"/>
    <w:rsid w:val="0078368A"/>
    <w:rsid w:val="00784444"/>
    <w:rsid w:val="007A1F2B"/>
    <w:rsid w:val="007B091A"/>
    <w:rsid w:val="007B4129"/>
    <w:rsid w:val="007D02BA"/>
    <w:rsid w:val="007D4658"/>
    <w:rsid w:val="007D52B4"/>
    <w:rsid w:val="00806709"/>
    <w:rsid w:val="00821DE2"/>
    <w:rsid w:val="008270C0"/>
    <w:rsid w:val="00836CFC"/>
    <w:rsid w:val="0083761A"/>
    <w:rsid w:val="00840424"/>
    <w:rsid w:val="008405E9"/>
    <w:rsid w:val="00841403"/>
    <w:rsid w:val="00845027"/>
    <w:rsid w:val="00846A41"/>
    <w:rsid w:val="00852D56"/>
    <w:rsid w:val="00864375"/>
    <w:rsid w:val="0086768E"/>
    <w:rsid w:val="0087529C"/>
    <w:rsid w:val="008A4CCC"/>
    <w:rsid w:val="008C186A"/>
    <w:rsid w:val="008D1811"/>
    <w:rsid w:val="008E75C9"/>
    <w:rsid w:val="00904CB7"/>
    <w:rsid w:val="00925AF0"/>
    <w:rsid w:val="00936254"/>
    <w:rsid w:val="0094001F"/>
    <w:rsid w:val="0094288F"/>
    <w:rsid w:val="00945EE7"/>
    <w:rsid w:val="009562E2"/>
    <w:rsid w:val="00957BA8"/>
    <w:rsid w:val="00960A65"/>
    <w:rsid w:val="00963151"/>
    <w:rsid w:val="009735A8"/>
    <w:rsid w:val="009B1B1A"/>
    <w:rsid w:val="009B1D3C"/>
    <w:rsid w:val="009D3024"/>
    <w:rsid w:val="009E4CE3"/>
    <w:rsid w:val="009F06DC"/>
    <w:rsid w:val="00A00DA6"/>
    <w:rsid w:val="00A109D4"/>
    <w:rsid w:val="00A333EB"/>
    <w:rsid w:val="00A449B9"/>
    <w:rsid w:val="00A53272"/>
    <w:rsid w:val="00A7075F"/>
    <w:rsid w:val="00A7649B"/>
    <w:rsid w:val="00AA0B2B"/>
    <w:rsid w:val="00AA5285"/>
    <w:rsid w:val="00AC0DD7"/>
    <w:rsid w:val="00AC5286"/>
    <w:rsid w:val="00AD7CDD"/>
    <w:rsid w:val="00AE0A98"/>
    <w:rsid w:val="00AE0C8B"/>
    <w:rsid w:val="00AE3CC3"/>
    <w:rsid w:val="00AE4D62"/>
    <w:rsid w:val="00AF3847"/>
    <w:rsid w:val="00AF7C6B"/>
    <w:rsid w:val="00B2271A"/>
    <w:rsid w:val="00B229CF"/>
    <w:rsid w:val="00B27F02"/>
    <w:rsid w:val="00B3518B"/>
    <w:rsid w:val="00B36CD6"/>
    <w:rsid w:val="00B37682"/>
    <w:rsid w:val="00B52EE3"/>
    <w:rsid w:val="00B74ADA"/>
    <w:rsid w:val="00B93E7F"/>
    <w:rsid w:val="00BA39AD"/>
    <w:rsid w:val="00BA7D82"/>
    <w:rsid w:val="00BB170B"/>
    <w:rsid w:val="00BC0B3D"/>
    <w:rsid w:val="00BC1BA4"/>
    <w:rsid w:val="00BC5D6F"/>
    <w:rsid w:val="00BC6502"/>
    <w:rsid w:val="00BD729B"/>
    <w:rsid w:val="00BE091C"/>
    <w:rsid w:val="00BF421B"/>
    <w:rsid w:val="00C05B69"/>
    <w:rsid w:val="00C116B1"/>
    <w:rsid w:val="00C14223"/>
    <w:rsid w:val="00C1790F"/>
    <w:rsid w:val="00C240E5"/>
    <w:rsid w:val="00C31FF6"/>
    <w:rsid w:val="00C332DD"/>
    <w:rsid w:val="00C47881"/>
    <w:rsid w:val="00C547A0"/>
    <w:rsid w:val="00C55C62"/>
    <w:rsid w:val="00C60C76"/>
    <w:rsid w:val="00C715D9"/>
    <w:rsid w:val="00C834BB"/>
    <w:rsid w:val="00C8384A"/>
    <w:rsid w:val="00C87970"/>
    <w:rsid w:val="00C95040"/>
    <w:rsid w:val="00CA2656"/>
    <w:rsid w:val="00CB4655"/>
    <w:rsid w:val="00CB6698"/>
    <w:rsid w:val="00CC58AD"/>
    <w:rsid w:val="00CD7631"/>
    <w:rsid w:val="00CE202C"/>
    <w:rsid w:val="00CE5EEF"/>
    <w:rsid w:val="00CE7E65"/>
    <w:rsid w:val="00CF2439"/>
    <w:rsid w:val="00CF2944"/>
    <w:rsid w:val="00CF3622"/>
    <w:rsid w:val="00D11A49"/>
    <w:rsid w:val="00D16D6F"/>
    <w:rsid w:val="00D22CA9"/>
    <w:rsid w:val="00D27660"/>
    <w:rsid w:val="00D32B7C"/>
    <w:rsid w:val="00D4627A"/>
    <w:rsid w:val="00D813B2"/>
    <w:rsid w:val="00D85035"/>
    <w:rsid w:val="00DC7A01"/>
    <w:rsid w:val="00DD2725"/>
    <w:rsid w:val="00DD3542"/>
    <w:rsid w:val="00DD62B8"/>
    <w:rsid w:val="00DD6C36"/>
    <w:rsid w:val="00DE0F82"/>
    <w:rsid w:val="00E0665C"/>
    <w:rsid w:val="00E23D95"/>
    <w:rsid w:val="00E26393"/>
    <w:rsid w:val="00E2683D"/>
    <w:rsid w:val="00E44DB4"/>
    <w:rsid w:val="00E47634"/>
    <w:rsid w:val="00E50C9D"/>
    <w:rsid w:val="00E52589"/>
    <w:rsid w:val="00E54001"/>
    <w:rsid w:val="00E805B7"/>
    <w:rsid w:val="00E81D37"/>
    <w:rsid w:val="00E85CE3"/>
    <w:rsid w:val="00EA559A"/>
    <w:rsid w:val="00EA7F29"/>
    <w:rsid w:val="00EC7EF7"/>
    <w:rsid w:val="00F04AB1"/>
    <w:rsid w:val="00F17031"/>
    <w:rsid w:val="00F47C4B"/>
    <w:rsid w:val="00F519F0"/>
    <w:rsid w:val="00F60E60"/>
    <w:rsid w:val="00F61B2B"/>
    <w:rsid w:val="00FB4269"/>
    <w:rsid w:val="00FD7D67"/>
    <w:rsid w:val="00FF044D"/>
    <w:rsid w:val="00FF07F9"/>
    <w:rsid w:val="0126272D"/>
    <w:rsid w:val="013B0175"/>
    <w:rsid w:val="013B4D07"/>
    <w:rsid w:val="01A93385"/>
    <w:rsid w:val="01BD5C92"/>
    <w:rsid w:val="01EA3656"/>
    <w:rsid w:val="01F14768"/>
    <w:rsid w:val="020A31B3"/>
    <w:rsid w:val="020D695D"/>
    <w:rsid w:val="0249725E"/>
    <w:rsid w:val="028450B9"/>
    <w:rsid w:val="02AE096A"/>
    <w:rsid w:val="02D964ED"/>
    <w:rsid w:val="034673C1"/>
    <w:rsid w:val="03901725"/>
    <w:rsid w:val="03AA5DB1"/>
    <w:rsid w:val="03B51C54"/>
    <w:rsid w:val="03D21097"/>
    <w:rsid w:val="0441752A"/>
    <w:rsid w:val="048211A2"/>
    <w:rsid w:val="04B0425C"/>
    <w:rsid w:val="04F41E13"/>
    <w:rsid w:val="05337BEF"/>
    <w:rsid w:val="0596361A"/>
    <w:rsid w:val="068233B3"/>
    <w:rsid w:val="07033C31"/>
    <w:rsid w:val="070806FF"/>
    <w:rsid w:val="078C00B6"/>
    <w:rsid w:val="087A4FD0"/>
    <w:rsid w:val="08AC6884"/>
    <w:rsid w:val="08E12275"/>
    <w:rsid w:val="08F0001F"/>
    <w:rsid w:val="09C40043"/>
    <w:rsid w:val="09C530D4"/>
    <w:rsid w:val="09DF0839"/>
    <w:rsid w:val="09E77B5F"/>
    <w:rsid w:val="0A3259D4"/>
    <w:rsid w:val="0ACF6197"/>
    <w:rsid w:val="0B6C078D"/>
    <w:rsid w:val="0B963C87"/>
    <w:rsid w:val="0BB27EF8"/>
    <w:rsid w:val="0BBD2B5E"/>
    <w:rsid w:val="0BDB4C57"/>
    <w:rsid w:val="0C2B7EB8"/>
    <w:rsid w:val="0C3F5BF4"/>
    <w:rsid w:val="0C622744"/>
    <w:rsid w:val="0DE55949"/>
    <w:rsid w:val="0E46040F"/>
    <w:rsid w:val="0E8C6D58"/>
    <w:rsid w:val="0ECD209C"/>
    <w:rsid w:val="0F7C638D"/>
    <w:rsid w:val="0F8A6A96"/>
    <w:rsid w:val="0FA517EC"/>
    <w:rsid w:val="0FAA65A1"/>
    <w:rsid w:val="104E46F0"/>
    <w:rsid w:val="10797237"/>
    <w:rsid w:val="109E0723"/>
    <w:rsid w:val="11B379CA"/>
    <w:rsid w:val="11CA5479"/>
    <w:rsid w:val="11FB55C2"/>
    <w:rsid w:val="1201211A"/>
    <w:rsid w:val="122C4F2A"/>
    <w:rsid w:val="12CA4061"/>
    <w:rsid w:val="12EC567C"/>
    <w:rsid w:val="1322640B"/>
    <w:rsid w:val="1329079F"/>
    <w:rsid w:val="14092FD9"/>
    <w:rsid w:val="143C191F"/>
    <w:rsid w:val="14472460"/>
    <w:rsid w:val="1457167D"/>
    <w:rsid w:val="148B7ADB"/>
    <w:rsid w:val="150470FF"/>
    <w:rsid w:val="15065316"/>
    <w:rsid w:val="1534372C"/>
    <w:rsid w:val="158B30BD"/>
    <w:rsid w:val="15D02F91"/>
    <w:rsid w:val="15F53477"/>
    <w:rsid w:val="16850C87"/>
    <w:rsid w:val="16BE7F12"/>
    <w:rsid w:val="176848CE"/>
    <w:rsid w:val="178A0FCC"/>
    <w:rsid w:val="17E92EF4"/>
    <w:rsid w:val="17EF7DDE"/>
    <w:rsid w:val="18030001"/>
    <w:rsid w:val="18610CDC"/>
    <w:rsid w:val="1989589B"/>
    <w:rsid w:val="1A323A0D"/>
    <w:rsid w:val="1A4F3377"/>
    <w:rsid w:val="1AAE2EB7"/>
    <w:rsid w:val="1ACD56A5"/>
    <w:rsid w:val="1B4C5D3C"/>
    <w:rsid w:val="1B595EB1"/>
    <w:rsid w:val="1B7A3E63"/>
    <w:rsid w:val="1C550B58"/>
    <w:rsid w:val="1C592702"/>
    <w:rsid w:val="1C8F6F67"/>
    <w:rsid w:val="1CA7299F"/>
    <w:rsid w:val="1CAB4D40"/>
    <w:rsid w:val="1DAC1C83"/>
    <w:rsid w:val="1DF62D58"/>
    <w:rsid w:val="1E2D1AB0"/>
    <w:rsid w:val="1E5D1F46"/>
    <w:rsid w:val="1EAD1969"/>
    <w:rsid w:val="1F5570C1"/>
    <w:rsid w:val="1F5C4F99"/>
    <w:rsid w:val="1F5D0FEB"/>
    <w:rsid w:val="1FA80734"/>
    <w:rsid w:val="1FF91BAC"/>
    <w:rsid w:val="20612954"/>
    <w:rsid w:val="207417C9"/>
    <w:rsid w:val="208A354C"/>
    <w:rsid w:val="2090568D"/>
    <w:rsid w:val="211C167B"/>
    <w:rsid w:val="21436CCA"/>
    <w:rsid w:val="21E7332D"/>
    <w:rsid w:val="22A92310"/>
    <w:rsid w:val="22E8207E"/>
    <w:rsid w:val="233C07F2"/>
    <w:rsid w:val="236128C1"/>
    <w:rsid w:val="23B24AE2"/>
    <w:rsid w:val="23D65923"/>
    <w:rsid w:val="23ED5A9C"/>
    <w:rsid w:val="24457B1A"/>
    <w:rsid w:val="24FE1F66"/>
    <w:rsid w:val="25643BBA"/>
    <w:rsid w:val="263D712B"/>
    <w:rsid w:val="26587026"/>
    <w:rsid w:val="265E1484"/>
    <w:rsid w:val="26CA56A8"/>
    <w:rsid w:val="26D56488"/>
    <w:rsid w:val="272034C0"/>
    <w:rsid w:val="27720924"/>
    <w:rsid w:val="27803804"/>
    <w:rsid w:val="27B13BC5"/>
    <w:rsid w:val="28402E3A"/>
    <w:rsid w:val="289940F2"/>
    <w:rsid w:val="28C02FA4"/>
    <w:rsid w:val="29222783"/>
    <w:rsid w:val="29EF7E89"/>
    <w:rsid w:val="2A5E0BDD"/>
    <w:rsid w:val="2A7E161A"/>
    <w:rsid w:val="2AC241B6"/>
    <w:rsid w:val="2B3A0595"/>
    <w:rsid w:val="2B84085A"/>
    <w:rsid w:val="2B9D1E28"/>
    <w:rsid w:val="2BFD43B0"/>
    <w:rsid w:val="2C412EA7"/>
    <w:rsid w:val="2C425EFD"/>
    <w:rsid w:val="2CBB3430"/>
    <w:rsid w:val="2CC15D95"/>
    <w:rsid w:val="2D0B4DCE"/>
    <w:rsid w:val="2D3E2CF0"/>
    <w:rsid w:val="2DE54CDD"/>
    <w:rsid w:val="2E080494"/>
    <w:rsid w:val="2E294A2D"/>
    <w:rsid w:val="2E491A5F"/>
    <w:rsid w:val="2E5264D8"/>
    <w:rsid w:val="2E8A1607"/>
    <w:rsid w:val="2E923D01"/>
    <w:rsid w:val="2ED2796D"/>
    <w:rsid w:val="2F863BCB"/>
    <w:rsid w:val="305B4150"/>
    <w:rsid w:val="30EC4516"/>
    <w:rsid w:val="3119230B"/>
    <w:rsid w:val="316311C9"/>
    <w:rsid w:val="317137A7"/>
    <w:rsid w:val="32033F95"/>
    <w:rsid w:val="33385931"/>
    <w:rsid w:val="3351287A"/>
    <w:rsid w:val="33677B8F"/>
    <w:rsid w:val="3423257C"/>
    <w:rsid w:val="342A4220"/>
    <w:rsid w:val="344E3CC7"/>
    <w:rsid w:val="346C3AC6"/>
    <w:rsid w:val="34EA5940"/>
    <w:rsid w:val="3518149A"/>
    <w:rsid w:val="35867372"/>
    <w:rsid w:val="35C160F2"/>
    <w:rsid w:val="35DC779C"/>
    <w:rsid w:val="36180AC6"/>
    <w:rsid w:val="3664145D"/>
    <w:rsid w:val="372063EC"/>
    <w:rsid w:val="37235C81"/>
    <w:rsid w:val="37494562"/>
    <w:rsid w:val="37EA6999"/>
    <w:rsid w:val="37ED0B8E"/>
    <w:rsid w:val="38195A9B"/>
    <w:rsid w:val="38A95B8D"/>
    <w:rsid w:val="38DB3D3B"/>
    <w:rsid w:val="394437E2"/>
    <w:rsid w:val="39A61C72"/>
    <w:rsid w:val="39BD1C7D"/>
    <w:rsid w:val="3A1676BC"/>
    <w:rsid w:val="3A1F40FB"/>
    <w:rsid w:val="3A6363E8"/>
    <w:rsid w:val="3AF60925"/>
    <w:rsid w:val="3AF9494C"/>
    <w:rsid w:val="3B1E3C09"/>
    <w:rsid w:val="3B9E7BEB"/>
    <w:rsid w:val="3BBD56BE"/>
    <w:rsid w:val="3BCA3066"/>
    <w:rsid w:val="3BD5530B"/>
    <w:rsid w:val="3BFB5A63"/>
    <w:rsid w:val="3C063DCE"/>
    <w:rsid w:val="3C6A5B02"/>
    <w:rsid w:val="3C726F4F"/>
    <w:rsid w:val="3D1D1C83"/>
    <w:rsid w:val="3D9E248F"/>
    <w:rsid w:val="3DBB244A"/>
    <w:rsid w:val="3E5E5C8E"/>
    <w:rsid w:val="3EB820B2"/>
    <w:rsid w:val="3EFA2A46"/>
    <w:rsid w:val="3F320C59"/>
    <w:rsid w:val="3FF5297F"/>
    <w:rsid w:val="4076327B"/>
    <w:rsid w:val="411B5B71"/>
    <w:rsid w:val="413F1E5E"/>
    <w:rsid w:val="41A24BAF"/>
    <w:rsid w:val="41DA2A3C"/>
    <w:rsid w:val="427A6EB0"/>
    <w:rsid w:val="42A12C4A"/>
    <w:rsid w:val="42DA0782"/>
    <w:rsid w:val="43260013"/>
    <w:rsid w:val="43537C47"/>
    <w:rsid w:val="44BD4953"/>
    <w:rsid w:val="44CD203F"/>
    <w:rsid w:val="45082896"/>
    <w:rsid w:val="45817B3D"/>
    <w:rsid w:val="45CD0EAF"/>
    <w:rsid w:val="464C5BD7"/>
    <w:rsid w:val="48861BFC"/>
    <w:rsid w:val="48BC68A3"/>
    <w:rsid w:val="48DE14F8"/>
    <w:rsid w:val="48FB0E75"/>
    <w:rsid w:val="49C27E92"/>
    <w:rsid w:val="4A5B2F2E"/>
    <w:rsid w:val="4A62690D"/>
    <w:rsid w:val="4A910668"/>
    <w:rsid w:val="4B2C60E0"/>
    <w:rsid w:val="4C2113BB"/>
    <w:rsid w:val="4C3B07F2"/>
    <w:rsid w:val="4C417B30"/>
    <w:rsid w:val="4C4F650A"/>
    <w:rsid w:val="4CDF7E46"/>
    <w:rsid w:val="4CE36D98"/>
    <w:rsid w:val="4D4F63F7"/>
    <w:rsid w:val="4D662145"/>
    <w:rsid w:val="4D81503B"/>
    <w:rsid w:val="4DEE6977"/>
    <w:rsid w:val="4E044C62"/>
    <w:rsid w:val="4E10678A"/>
    <w:rsid w:val="4E817324"/>
    <w:rsid w:val="4EEF4538"/>
    <w:rsid w:val="4F300989"/>
    <w:rsid w:val="4F756DB0"/>
    <w:rsid w:val="4FC860CA"/>
    <w:rsid w:val="50E1246C"/>
    <w:rsid w:val="50E538E2"/>
    <w:rsid w:val="50F1535F"/>
    <w:rsid w:val="51330760"/>
    <w:rsid w:val="520A0ED2"/>
    <w:rsid w:val="520D2BC6"/>
    <w:rsid w:val="52417BEB"/>
    <w:rsid w:val="528E4168"/>
    <w:rsid w:val="529A63D6"/>
    <w:rsid w:val="52FB78BA"/>
    <w:rsid w:val="52FE2EF1"/>
    <w:rsid w:val="53CE47CF"/>
    <w:rsid w:val="541854A3"/>
    <w:rsid w:val="547001E4"/>
    <w:rsid w:val="54722FC7"/>
    <w:rsid w:val="552F43EE"/>
    <w:rsid w:val="55B90637"/>
    <w:rsid w:val="55F22F18"/>
    <w:rsid w:val="561B0EC2"/>
    <w:rsid w:val="563919A1"/>
    <w:rsid w:val="56D1527E"/>
    <w:rsid w:val="56D57BC4"/>
    <w:rsid w:val="56DD64BE"/>
    <w:rsid w:val="57550741"/>
    <w:rsid w:val="577F37CE"/>
    <w:rsid w:val="57B07204"/>
    <w:rsid w:val="57DA6289"/>
    <w:rsid w:val="5828145E"/>
    <w:rsid w:val="583A6C98"/>
    <w:rsid w:val="58F3205D"/>
    <w:rsid w:val="590A4FC9"/>
    <w:rsid w:val="595D0B9C"/>
    <w:rsid w:val="5A3A490E"/>
    <w:rsid w:val="5B334B39"/>
    <w:rsid w:val="5B412866"/>
    <w:rsid w:val="5B4B0FF2"/>
    <w:rsid w:val="5B836F19"/>
    <w:rsid w:val="5B890176"/>
    <w:rsid w:val="5BF1249F"/>
    <w:rsid w:val="5C264C6F"/>
    <w:rsid w:val="5C392F15"/>
    <w:rsid w:val="5C423F4D"/>
    <w:rsid w:val="5CFC40FC"/>
    <w:rsid w:val="5D841C1D"/>
    <w:rsid w:val="5E0504CB"/>
    <w:rsid w:val="5E3F1056"/>
    <w:rsid w:val="5E5E3A95"/>
    <w:rsid w:val="5EB427B5"/>
    <w:rsid w:val="5F316783"/>
    <w:rsid w:val="5FAE76AB"/>
    <w:rsid w:val="5FD7231D"/>
    <w:rsid w:val="5FDC3FAE"/>
    <w:rsid w:val="606050CD"/>
    <w:rsid w:val="607B093E"/>
    <w:rsid w:val="60C4431C"/>
    <w:rsid w:val="60CD22FC"/>
    <w:rsid w:val="611D543B"/>
    <w:rsid w:val="61625587"/>
    <w:rsid w:val="62170EEA"/>
    <w:rsid w:val="621C290A"/>
    <w:rsid w:val="621E7841"/>
    <w:rsid w:val="622D1EC0"/>
    <w:rsid w:val="63016A49"/>
    <w:rsid w:val="63F26259"/>
    <w:rsid w:val="645A4F2A"/>
    <w:rsid w:val="646946BF"/>
    <w:rsid w:val="652129AB"/>
    <w:rsid w:val="65267024"/>
    <w:rsid w:val="653A4E32"/>
    <w:rsid w:val="6605175D"/>
    <w:rsid w:val="66246472"/>
    <w:rsid w:val="664F23C4"/>
    <w:rsid w:val="665B203B"/>
    <w:rsid w:val="66766CBA"/>
    <w:rsid w:val="6693392A"/>
    <w:rsid w:val="66B10793"/>
    <w:rsid w:val="66E03A25"/>
    <w:rsid w:val="66FB71D3"/>
    <w:rsid w:val="67B44C44"/>
    <w:rsid w:val="67E72316"/>
    <w:rsid w:val="68087D53"/>
    <w:rsid w:val="684B28B8"/>
    <w:rsid w:val="687F015B"/>
    <w:rsid w:val="69280027"/>
    <w:rsid w:val="6951323E"/>
    <w:rsid w:val="695207F5"/>
    <w:rsid w:val="69CF3CD3"/>
    <w:rsid w:val="6A2C4395"/>
    <w:rsid w:val="6A3963F6"/>
    <w:rsid w:val="6B2A6550"/>
    <w:rsid w:val="6B2E5ABB"/>
    <w:rsid w:val="6B5032A2"/>
    <w:rsid w:val="6B993C1E"/>
    <w:rsid w:val="6BEC6B5B"/>
    <w:rsid w:val="6C7D068A"/>
    <w:rsid w:val="6C8A6A41"/>
    <w:rsid w:val="6C92192E"/>
    <w:rsid w:val="6CB3798A"/>
    <w:rsid w:val="6D2C63EC"/>
    <w:rsid w:val="6D525B25"/>
    <w:rsid w:val="6F024263"/>
    <w:rsid w:val="6F064610"/>
    <w:rsid w:val="6F1C79B1"/>
    <w:rsid w:val="6F2E2A78"/>
    <w:rsid w:val="6F616041"/>
    <w:rsid w:val="6F8256B0"/>
    <w:rsid w:val="6FBC3D92"/>
    <w:rsid w:val="70047EDB"/>
    <w:rsid w:val="700C7EB2"/>
    <w:rsid w:val="70C01ED8"/>
    <w:rsid w:val="70D32750"/>
    <w:rsid w:val="711772FF"/>
    <w:rsid w:val="71243C63"/>
    <w:rsid w:val="716C0E80"/>
    <w:rsid w:val="719C25CF"/>
    <w:rsid w:val="71E02DC1"/>
    <w:rsid w:val="71FA4713"/>
    <w:rsid w:val="72C720C4"/>
    <w:rsid w:val="72CC6113"/>
    <w:rsid w:val="73010CE9"/>
    <w:rsid w:val="73915642"/>
    <w:rsid w:val="73CC760A"/>
    <w:rsid w:val="73FD6FF0"/>
    <w:rsid w:val="7449035E"/>
    <w:rsid w:val="74604C6A"/>
    <w:rsid w:val="75093403"/>
    <w:rsid w:val="75502B78"/>
    <w:rsid w:val="7585736D"/>
    <w:rsid w:val="758D092B"/>
    <w:rsid w:val="75B37ACD"/>
    <w:rsid w:val="765D3A06"/>
    <w:rsid w:val="768921E3"/>
    <w:rsid w:val="77190378"/>
    <w:rsid w:val="778E6FCE"/>
    <w:rsid w:val="78174088"/>
    <w:rsid w:val="7819147C"/>
    <w:rsid w:val="78495879"/>
    <w:rsid w:val="78B328B0"/>
    <w:rsid w:val="78C41E55"/>
    <w:rsid w:val="78F64203"/>
    <w:rsid w:val="7920586A"/>
    <w:rsid w:val="79D13056"/>
    <w:rsid w:val="79F228C9"/>
    <w:rsid w:val="7A0F70D4"/>
    <w:rsid w:val="7A510D9D"/>
    <w:rsid w:val="7AAC3B2D"/>
    <w:rsid w:val="7AD26045"/>
    <w:rsid w:val="7B5B0758"/>
    <w:rsid w:val="7B8D6218"/>
    <w:rsid w:val="7B971AE9"/>
    <w:rsid w:val="7BA9013F"/>
    <w:rsid w:val="7BC566B5"/>
    <w:rsid w:val="7C17470D"/>
    <w:rsid w:val="7C4335D3"/>
    <w:rsid w:val="7C5F60E2"/>
    <w:rsid w:val="7D4F1768"/>
    <w:rsid w:val="7D62030A"/>
    <w:rsid w:val="7DB67BC5"/>
    <w:rsid w:val="7E1036E0"/>
    <w:rsid w:val="7E563953"/>
    <w:rsid w:val="7E5C275F"/>
    <w:rsid w:val="7EA23B8E"/>
    <w:rsid w:val="7FDA1B99"/>
    <w:rsid w:val="7FE7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脚 字符"/>
    <w:basedOn w:val="7"/>
    <w:link w:val="3"/>
    <w:qFormat/>
    <w:uiPriority w:val="99"/>
    <w:rPr>
      <w:sz w:val="18"/>
      <w:szCs w:val="18"/>
    </w:rPr>
  </w:style>
  <w:style w:type="character" w:customStyle="1" w:styleId="9">
    <w:name w:val="页眉 字符"/>
    <w:basedOn w:val="7"/>
    <w:link w:val="4"/>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9334</Words>
  <Characters>9489</Characters>
  <Lines>49</Lines>
  <Paragraphs>13</Paragraphs>
  <TotalTime>9</TotalTime>
  <ScaleCrop>false</ScaleCrop>
  <LinksUpToDate>false</LinksUpToDate>
  <CharactersWithSpaces>9547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2021-10-06T03:50:00Z</dcterms:created>
  <dc:creator>W</dc:creator>
  <cp:lastModifiedBy>Administrator</cp:lastModifiedBy>
  <cp:lastPrinted>2023-02-21T05:42:00Z</cp:lastPrinted>
  <dcterms:modified xsi:type="dcterms:W3CDTF">2025-07-15T02:39:24Z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1AA3E05DF946415388EB2F24A0413555_13</vt:lpwstr>
  </property>
  <property fmtid="{D5CDD505-2E9C-101B-9397-08002B2CF9AE}" pid="4" name="KSOTemplateDocerSaveRecord">
    <vt:lpwstr>eyJoZGlkIjoiNTYyMDUzOGVhNTY0ZTMwYjA0MDQ3YTE0MjY1YjVkY2EiLCJ1c2VySWQiOiI3MDE5NTM1MTMifQ==</vt:lpwstr>
  </property>
</Properties>
</file>