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6CB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6E17D9E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58E8C37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0FBA183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1466BC0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034B6D3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52F7E08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417B56C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3585195B">
      <w:pPr>
        <w:jc w:val="center"/>
        <w:rPr>
          <w:rFonts w:hint="eastAsia" w:ascii="仿宋_GB2312" w:eastAsia="仿宋_GB2312"/>
          <w:sz w:val="32"/>
          <w:szCs w:val="32"/>
        </w:rPr>
      </w:pPr>
      <w:r>
        <w:rPr>
          <w:rFonts w:hint="eastAsia" w:ascii="仿宋_GB2312" w:eastAsia="仿宋_GB2312"/>
          <w:sz w:val="32"/>
          <w:szCs w:val="32"/>
        </w:rPr>
        <w:t>武东院字〔20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14:paraId="0746DFE5">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p>
    <w:p w14:paraId="50BDF6A5">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p>
    <w:p w14:paraId="6A3FD8D4">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关于印发</w:t>
      </w:r>
    </w:p>
    <w:p w14:paraId="23DDEDF2">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default" w:ascii="华文中宋" w:hAnsi="华文中宋" w:eastAsia="华文中宋" w:cs="Times New Roman"/>
          <w:b w:val="0"/>
          <w:bCs/>
          <w:kern w:val="0"/>
          <w:sz w:val="44"/>
          <w:szCs w:val="44"/>
          <w:lang w:val="en-US"/>
        </w:rPr>
      </w:pPr>
      <w:r>
        <w:rPr>
          <w:rFonts w:hint="eastAsia" w:ascii="方正小标宋_GBK" w:hAnsi="方正小标宋_GBK" w:eastAsia="方正小标宋_GBK" w:cs="方正小标宋_GBK"/>
          <w:b w:val="0"/>
          <w:bCs/>
          <w:kern w:val="0"/>
          <w:sz w:val="44"/>
          <w:szCs w:val="44"/>
          <w:lang w:val="en-US" w:eastAsia="zh-CN"/>
        </w:rPr>
        <w:t>《</w:t>
      </w:r>
      <w:r>
        <w:rPr>
          <w:rFonts w:hint="eastAsia" w:ascii="方正小标宋_GBK" w:hAnsi="方正小标宋_GBK" w:eastAsia="方正小标宋_GBK" w:cs="方正小标宋_GBK"/>
          <w:b w:val="0"/>
          <w:bCs/>
          <w:kern w:val="0"/>
          <w:sz w:val="44"/>
          <w:szCs w:val="44"/>
        </w:rPr>
        <w:t>武汉东湖学院202</w:t>
      </w:r>
      <w:r>
        <w:rPr>
          <w:rFonts w:hint="eastAsia" w:ascii="方正小标宋_GBK" w:hAnsi="方正小标宋_GBK" w:eastAsia="方正小标宋_GBK" w:cs="方正小标宋_GBK"/>
          <w:b w:val="0"/>
          <w:bCs/>
          <w:kern w:val="0"/>
          <w:sz w:val="44"/>
          <w:szCs w:val="44"/>
          <w:lang w:val="en-US" w:eastAsia="zh-CN"/>
        </w:rPr>
        <w:t>4</w:t>
      </w:r>
      <w:r>
        <w:rPr>
          <w:rFonts w:hint="eastAsia" w:ascii="方正小标宋_GBK" w:hAnsi="方正小标宋_GBK" w:eastAsia="方正小标宋_GBK" w:cs="方正小标宋_GBK"/>
          <w:b w:val="0"/>
          <w:bCs/>
          <w:kern w:val="0"/>
          <w:sz w:val="44"/>
          <w:szCs w:val="44"/>
        </w:rPr>
        <w:t>年工作要点</w:t>
      </w:r>
      <w:r>
        <w:rPr>
          <w:rFonts w:hint="eastAsia" w:ascii="方正小标宋_GBK" w:hAnsi="方正小标宋_GBK" w:eastAsia="方正小标宋_GBK" w:cs="方正小标宋_GBK"/>
          <w:b w:val="0"/>
          <w:bCs/>
          <w:kern w:val="0"/>
          <w:sz w:val="44"/>
          <w:szCs w:val="44"/>
          <w:lang w:val="en-US" w:eastAsia="zh-CN"/>
        </w:rPr>
        <w:t>》的通知</w:t>
      </w:r>
    </w:p>
    <w:p w14:paraId="44A12447">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仿宋_GB2312" w:cs="Times New Roman"/>
          <w:b/>
          <w:kern w:val="0"/>
          <w:sz w:val="30"/>
          <w:szCs w:val="30"/>
        </w:rPr>
      </w:pPr>
    </w:p>
    <w:p w14:paraId="01C4EE99">
      <w:pPr>
        <w:keepNext w:val="0"/>
        <w:keepLines w:val="0"/>
        <w:pageBreakBefore w:val="0"/>
        <w:widowControl w:val="0"/>
        <w:kinsoku/>
        <w:wordWrap/>
        <w:overflowPunct/>
        <w:topLinePunct w:val="0"/>
        <w:autoSpaceDE/>
        <w:autoSpaceDN/>
        <w:bidi w:val="0"/>
        <w:adjustRightInd/>
        <w:snapToGrid/>
        <w:spacing w:line="588" w:lineRule="exact"/>
        <w:ind w:right="420"/>
        <w:jc w:val="left"/>
        <w:textAlignment w:val="auto"/>
        <w:rPr>
          <w:rFonts w:hint="eastAsia" w:ascii="仿宋_GB2312" w:hAnsi="Arial" w:eastAsia="仿宋_GB2312"/>
          <w:color w:val="000000"/>
          <w:sz w:val="32"/>
          <w:szCs w:val="32"/>
          <w:lang w:val="en-US" w:eastAsia="zh-CN"/>
        </w:rPr>
      </w:pPr>
      <w:r>
        <w:rPr>
          <w:rFonts w:hint="eastAsia" w:ascii="仿宋_GB2312" w:hAnsi="Arial" w:eastAsia="仿宋_GB2312"/>
          <w:color w:val="000000"/>
          <w:sz w:val="32"/>
          <w:szCs w:val="32"/>
          <w:lang w:val="en-US" w:eastAsia="zh-CN"/>
        </w:rPr>
        <w:t>各单位、各部门：</w:t>
      </w:r>
    </w:p>
    <w:p w14:paraId="3A92E28F">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经学校研究决定，现将《武汉东湖学院2024年工作要点》印发给你们，请认真遵照执行。</w:t>
      </w:r>
    </w:p>
    <w:p w14:paraId="07A828E3">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p>
    <w:p w14:paraId="668A2FE1">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Times New Roman" w:hAnsi="Times New Roman" w:eastAsia="仿宋_GB2312" w:cs="Times New Roman"/>
          <w:b/>
          <w:kern w:val="0"/>
          <w:sz w:val="30"/>
          <w:szCs w:val="30"/>
          <w:lang w:val="en-US" w:eastAsia="zh-CN"/>
        </w:rPr>
      </w:pPr>
      <w:r>
        <w:rPr>
          <w:rFonts w:hint="eastAsia" w:ascii="仿宋_GB2312" w:hAnsi="仿宋_GB2312" w:eastAsia="仿宋_GB2312" w:cs="仿宋_GB2312"/>
          <w:b w:val="0"/>
          <w:bCs/>
          <w:kern w:val="0"/>
          <w:sz w:val="32"/>
          <w:szCs w:val="32"/>
          <w:lang w:val="en-US" w:eastAsia="zh-CN"/>
        </w:rPr>
        <w:t>附件：武汉东湖学院2024年工作要点</w:t>
      </w:r>
    </w:p>
    <w:p w14:paraId="3B0C1302">
      <w:pPr>
        <w:pStyle w:val="2"/>
        <w:keepNext w:val="0"/>
        <w:keepLines w:val="0"/>
        <w:pageBreakBefore w:val="0"/>
        <w:kinsoku/>
        <w:wordWrap/>
        <w:overflowPunct/>
        <w:topLinePunct w:val="0"/>
        <w:autoSpaceDE/>
        <w:autoSpaceDN/>
        <w:bidi w:val="0"/>
        <w:spacing w:after="0" w:line="588" w:lineRule="exact"/>
        <w:textAlignment w:val="auto"/>
        <w:rPr>
          <w:rFonts w:hint="eastAsia" w:ascii="Times New Roman" w:hAnsi="Times New Roman" w:eastAsia="仿宋_GB2312" w:cs="Times New Roman"/>
          <w:b/>
          <w:kern w:val="0"/>
          <w:sz w:val="30"/>
          <w:szCs w:val="30"/>
          <w:lang w:val="en-US" w:eastAsia="zh-CN"/>
        </w:rPr>
      </w:pPr>
    </w:p>
    <w:p w14:paraId="5574B77E">
      <w:pPr>
        <w:pStyle w:val="2"/>
        <w:keepNext w:val="0"/>
        <w:keepLines w:val="0"/>
        <w:pageBreakBefore w:val="0"/>
        <w:kinsoku/>
        <w:wordWrap/>
        <w:overflowPunct/>
        <w:topLinePunct w:val="0"/>
        <w:autoSpaceDE/>
        <w:autoSpaceDN/>
        <w:bidi w:val="0"/>
        <w:spacing w:after="0" w:line="588" w:lineRule="exact"/>
        <w:textAlignment w:val="auto"/>
        <w:rPr>
          <w:rFonts w:hint="eastAsia" w:ascii="Times New Roman" w:hAnsi="Times New Roman" w:eastAsia="仿宋_GB2312" w:cs="Times New Roman"/>
          <w:b/>
          <w:kern w:val="0"/>
          <w:sz w:val="30"/>
          <w:szCs w:val="30"/>
          <w:lang w:val="en-US" w:eastAsia="zh-CN"/>
        </w:rPr>
      </w:pPr>
    </w:p>
    <w:p w14:paraId="071D827C">
      <w:pPr>
        <w:pStyle w:val="2"/>
        <w:keepNext w:val="0"/>
        <w:keepLines w:val="0"/>
        <w:pageBreakBefore w:val="0"/>
        <w:kinsoku/>
        <w:wordWrap/>
        <w:overflowPunct/>
        <w:topLinePunct w:val="0"/>
        <w:autoSpaceDE/>
        <w:autoSpaceDN/>
        <w:bidi w:val="0"/>
        <w:spacing w:after="0" w:line="588" w:lineRule="exact"/>
        <w:textAlignment w:val="auto"/>
        <w:rPr>
          <w:rFonts w:hint="eastAsia" w:ascii="仿宋_GB2312" w:hAnsi="仿宋_GB2312" w:eastAsia="仿宋_GB2312" w:cs="仿宋_GB2312"/>
          <w:b w:val="0"/>
          <w:bCs/>
          <w:kern w:val="0"/>
          <w:sz w:val="32"/>
          <w:szCs w:val="32"/>
          <w:lang w:val="en-US" w:eastAsia="zh-CN"/>
        </w:rPr>
      </w:pPr>
      <w:r>
        <w:rPr>
          <w:rFonts w:hint="eastAsia" w:ascii="Times New Roman" w:hAnsi="Times New Roman" w:eastAsia="仿宋_GB2312" w:cs="Times New Roman"/>
          <w:b/>
          <w:kern w:val="0"/>
          <w:sz w:val="30"/>
          <w:szCs w:val="30"/>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default" w:ascii="Times New Roman" w:hAnsi="Times New Roman" w:eastAsia="仿宋_GB2312" w:cs="Times New Roman"/>
          <w:b w:val="0"/>
          <w:bCs/>
          <w:kern w:val="0"/>
          <w:sz w:val="32"/>
          <w:szCs w:val="32"/>
          <w:lang w:val="en-US" w:eastAsia="zh-CN"/>
        </w:rPr>
        <w:t>202</w:t>
      </w:r>
      <w:r>
        <w:rPr>
          <w:rFonts w:hint="eastAsia" w:ascii="Times New Roman" w:hAnsi="Times New Roman" w:eastAsia="仿宋_GB2312" w:cs="Times New Roman"/>
          <w:b w:val="0"/>
          <w:bCs/>
          <w:kern w:val="0"/>
          <w:sz w:val="32"/>
          <w:szCs w:val="32"/>
          <w:lang w:val="en-US" w:eastAsia="zh-CN"/>
        </w:rPr>
        <w:t>4</w:t>
      </w:r>
      <w:r>
        <w:rPr>
          <w:rFonts w:hint="eastAsia" w:ascii="仿宋_GB2312" w:hAnsi="仿宋_GB2312" w:eastAsia="仿宋_GB2312" w:cs="仿宋_GB2312"/>
          <w:b w:val="0"/>
          <w:bCs/>
          <w:kern w:val="0"/>
          <w:sz w:val="32"/>
          <w:szCs w:val="32"/>
          <w:lang w:val="en-US" w:eastAsia="zh-CN"/>
        </w:rPr>
        <w:t>年</w:t>
      </w:r>
      <w:r>
        <w:rPr>
          <w:rFonts w:hint="eastAsia" w:ascii="Times New Roman" w:hAnsi="Times New Roman" w:eastAsia="仿宋_GB2312" w:cs="Times New Roman"/>
          <w:b w:val="0"/>
          <w:bCs/>
          <w:kern w:val="0"/>
          <w:sz w:val="32"/>
          <w:szCs w:val="32"/>
          <w:lang w:val="en-US" w:eastAsia="zh-CN"/>
        </w:rPr>
        <w:t>3</w:t>
      </w:r>
      <w:r>
        <w:rPr>
          <w:rFonts w:hint="eastAsia" w:ascii="仿宋_GB2312" w:hAnsi="仿宋_GB2312" w:eastAsia="仿宋_GB2312" w:cs="仿宋_GB2312"/>
          <w:b w:val="0"/>
          <w:bCs/>
          <w:kern w:val="0"/>
          <w:sz w:val="32"/>
          <w:szCs w:val="32"/>
          <w:lang w:val="en-US" w:eastAsia="zh-CN"/>
        </w:rPr>
        <w:t>月</w:t>
      </w:r>
      <w:r>
        <w:rPr>
          <w:rFonts w:hint="eastAsia" w:ascii="Times New Roman" w:hAnsi="Times New Roman" w:eastAsia="仿宋_GB2312" w:cs="Times New Roman"/>
          <w:b w:val="0"/>
          <w:bCs/>
          <w:kern w:val="0"/>
          <w:sz w:val="32"/>
          <w:szCs w:val="32"/>
          <w:lang w:val="en-US" w:eastAsia="zh-CN"/>
        </w:rPr>
        <w:t>6</w:t>
      </w:r>
      <w:r>
        <w:rPr>
          <w:rFonts w:hint="eastAsia" w:ascii="仿宋_GB2312" w:hAnsi="仿宋_GB2312" w:eastAsia="仿宋_GB2312" w:cs="仿宋_GB2312"/>
          <w:b w:val="0"/>
          <w:bCs/>
          <w:kern w:val="0"/>
          <w:sz w:val="32"/>
          <w:szCs w:val="32"/>
          <w:lang w:val="en-US" w:eastAsia="zh-CN"/>
        </w:rPr>
        <w:t>日</w:t>
      </w:r>
    </w:p>
    <w:p w14:paraId="294B54B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kern w:val="0"/>
          <w:sz w:val="44"/>
          <w:szCs w:val="44"/>
        </w:rPr>
        <w:sectPr>
          <w:footerReference r:id="rId3" w:type="default"/>
          <w:pgSz w:w="11906" w:h="16838"/>
          <w:pgMar w:top="2098" w:right="1531" w:bottom="1757" w:left="1531" w:header="851" w:footer="992" w:gutter="0"/>
          <w:pgNumType w:fmt="decimal"/>
          <w:cols w:space="425" w:num="1"/>
          <w:docGrid w:type="lines" w:linePitch="312" w:charSpace="0"/>
        </w:sectPr>
      </w:pPr>
    </w:p>
    <w:p w14:paraId="2630C8B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附件</w:t>
      </w:r>
    </w:p>
    <w:p w14:paraId="455FD1F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color w:val="auto"/>
          <w:kern w:val="0"/>
          <w:sz w:val="44"/>
          <w:szCs w:val="44"/>
        </w:rPr>
      </w:pPr>
    </w:p>
    <w:p w14:paraId="631F0FB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楷体_GB2312" w:hAnsi="方正楷体_GB2312" w:eastAsia="方正楷体_GB2312" w:cs="方正楷体_GB2312"/>
          <w:b/>
          <w:bCs w:val="0"/>
          <w:color w:val="auto"/>
          <w:sz w:val="32"/>
          <w:szCs w:val="32"/>
          <w:lang w:eastAsia="zh-CN"/>
        </w:rPr>
      </w:pPr>
      <w:r>
        <w:rPr>
          <w:rFonts w:hint="eastAsia" w:ascii="方正小标宋_GBK" w:hAnsi="方正小标宋_GBK" w:eastAsia="方正小标宋_GBK" w:cs="方正小标宋_GBK"/>
          <w:b w:val="0"/>
          <w:bCs/>
          <w:color w:val="auto"/>
          <w:kern w:val="0"/>
          <w:sz w:val="44"/>
          <w:szCs w:val="44"/>
        </w:rPr>
        <w:t>武汉东湖学院202</w:t>
      </w:r>
      <w:r>
        <w:rPr>
          <w:rFonts w:hint="eastAsia" w:ascii="方正小标宋_GBK" w:hAnsi="方正小标宋_GBK" w:eastAsia="方正小标宋_GBK" w:cs="方正小标宋_GBK"/>
          <w:b w:val="0"/>
          <w:bCs/>
          <w:color w:val="auto"/>
          <w:kern w:val="0"/>
          <w:sz w:val="44"/>
          <w:szCs w:val="44"/>
          <w:lang w:val="en-US" w:eastAsia="zh-CN"/>
        </w:rPr>
        <w:t>4</w:t>
      </w:r>
      <w:r>
        <w:rPr>
          <w:rFonts w:hint="eastAsia" w:ascii="方正小标宋_GBK" w:hAnsi="方正小标宋_GBK" w:eastAsia="方正小标宋_GBK" w:cs="方正小标宋_GBK"/>
          <w:b w:val="0"/>
          <w:bCs/>
          <w:color w:val="auto"/>
          <w:kern w:val="0"/>
          <w:sz w:val="44"/>
          <w:szCs w:val="44"/>
        </w:rPr>
        <w:t>年工作要点</w:t>
      </w:r>
    </w:p>
    <w:p w14:paraId="66785F80">
      <w:pPr>
        <w:keepNext w:val="0"/>
        <w:keepLines w:val="0"/>
        <w:pageBreakBefore w:val="0"/>
        <w:widowControl/>
        <w:kinsoku/>
        <w:wordWrap/>
        <w:overflowPunct/>
        <w:topLinePunct w:val="0"/>
        <w:autoSpaceDE/>
        <w:autoSpaceDN/>
        <w:bidi w:val="0"/>
        <w:adjustRightInd w:val="0"/>
        <w:snapToGrid w:val="0"/>
        <w:spacing w:line="560" w:lineRule="exact"/>
        <w:ind w:firstLine="561"/>
        <w:jc w:val="left"/>
        <w:textAlignment w:val="auto"/>
        <w:rPr>
          <w:rFonts w:ascii="Times New Roman" w:hAnsi="Times New Roman" w:eastAsia="仿宋_GB2312" w:cs="Times New Roman"/>
          <w:b/>
          <w:color w:val="auto"/>
          <w:kern w:val="0"/>
          <w:sz w:val="30"/>
          <w:szCs w:val="30"/>
        </w:rPr>
      </w:pPr>
    </w:p>
    <w:p w14:paraId="7531595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2024年学校工作总体要求是：</w:t>
      </w:r>
      <w:bookmarkStart w:id="0" w:name="_Hlk88745100"/>
      <w:r>
        <w:rPr>
          <w:rFonts w:hint="eastAsia" w:ascii="Times New Roman" w:hAnsi="Times New Roman" w:eastAsia="仿宋_GB2312" w:cs="Times New Roman"/>
          <w:color w:val="auto"/>
          <w:kern w:val="0"/>
          <w:sz w:val="32"/>
          <w:szCs w:val="32"/>
          <w:lang w:val="en-US" w:eastAsia="zh-CN"/>
        </w:rPr>
        <w:t>坚持以习近平新时代中国特色社会主</w:t>
      </w:r>
      <w:r>
        <w:rPr>
          <w:rFonts w:hint="eastAsia" w:ascii="Times New Roman" w:hAnsi="Times New Roman" w:eastAsia="仿宋_GB2312" w:cs="Times New Roman"/>
          <w:color w:val="auto"/>
          <w:kern w:val="0"/>
          <w:sz w:val="32"/>
          <w:szCs w:val="32"/>
        </w:rPr>
        <w:t>义思想为指导</w:t>
      </w:r>
      <w:bookmarkEnd w:id="0"/>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深入贯彻落实习近平总书记关于教育的重要论述和党的二十大精神，深入学习贯彻</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教育强国建设规划纲要</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，积极推动教育强国建设东湖学院实践</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组织开展审核评估迎评促建，推动学校内涵建设、特色发展，统筹做好武汉校区和南校区管理，为</w:t>
      </w:r>
      <w:r>
        <w:rPr>
          <w:rFonts w:hint="eastAsia" w:ascii="Times New Roman" w:hAnsi="Times New Roman" w:eastAsia="仿宋_GB2312" w:cs="Times New Roman"/>
          <w:color w:val="auto"/>
          <w:kern w:val="0"/>
          <w:sz w:val="32"/>
          <w:szCs w:val="32"/>
        </w:rPr>
        <w:t>实现</w:t>
      </w:r>
      <w:r>
        <w:rPr>
          <w:rFonts w:hint="eastAsia" w:ascii="Times New Roman" w:hAnsi="Times New Roman" w:eastAsia="仿宋_GB2312" w:cs="Times New Roman"/>
          <w:color w:val="auto"/>
          <w:kern w:val="0"/>
          <w:sz w:val="32"/>
          <w:szCs w:val="32"/>
          <w:lang w:val="en-US" w:eastAsia="zh-CN"/>
        </w:rPr>
        <w:t>“十年崛起”增添新的业绩。</w:t>
      </w:r>
    </w:p>
    <w:p w14:paraId="6434AF8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黑体" w:cs="Times New Roman"/>
          <w:color w:val="auto"/>
          <w:kern w:val="0"/>
          <w:sz w:val="32"/>
          <w:szCs w:val="32"/>
          <w:highlight w:val="yellow"/>
          <w:lang w:val="en-US" w:eastAsia="zh-CN"/>
        </w:rPr>
      </w:pPr>
      <w:r>
        <w:rPr>
          <w:rFonts w:hint="eastAsia" w:ascii="Times New Roman" w:hAnsi="Times New Roman" w:eastAsia="黑体" w:cs="Times New Roman"/>
          <w:color w:val="auto"/>
          <w:kern w:val="0"/>
          <w:sz w:val="32"/>
          <w:szCs w:val="32"/>
          <w:highlight w:val="none"/>
          <w:lang w:val="en-US" w:eastAsia="zh-CN"/>
        </w:rPr>
        <w:t>一、全面加强党的领导，积蓄党建引领事业发展新力量</w:t>
      </w:r>
    </w:p>
    <w:p w14:paraId="3250CC7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1.持续加强思想理论武装</w:t>
      </w:r>
    </w:p>
    <w:p w14:paraId="24AA20E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实施立德树人落实质量提升行动，深入推进习近平新时代中国特色社会主义思想“三进”，贯彻落实《关于进一步提高党委（党组）理论学习中心组学习质量的意见》，学习掌握习近平新时代中国特色社会主义思想的科学体系、丰富内涵、实践要求，建立健全传达学习、调查研究、督促检查“三项机制”，抓好党委理论学习中心组学习</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抓实“第一议题”制度</w:t>
      </w:r>
      <w:r>
        <w:rPr>
          <w:rFonts w:hint="eastAsia" w:ascii="Times New Roman" w:hAnsi="Times New Roman" w:eastAsia="仿宋_GB2312" w:cs="Times New Roman"/>
          <w:b/>
          <w:bCs/>
          <w:color w:val="auto"/>
          <w:kern w:val="0"/>
          <w:sz w:val="32"/>
          <w:szCs w:val="32"/>
          <w:lang w:val="en-US" w:eastAsia="zh-CN"/>
        </w:rPr>
        <w:t>（组织人事处、党委宣传部，各基层党组织）</w:t>
      </w:r>
      <w:r>
        <w:rPr>
          <w:rFonts w:hint="eastAsia" w:ascii="Times New Roman" w:hAnsi="Times New Roman" w:eastAsia="仿宋_GB2312" w:cs="Times New Roman"/>
          <w:color w:val="auto"/>
          <w:kern w:val="0"/>
          <w:sz w:val="32"/>
          <w:szCs w:val="32"/>
          <w:lang w:eastAsia="zh-CN"/>
        </w:rPr>
        <w:t>。</w:t>
      </w:r>
    </w:p>
    <w:p w14:paraId="32FDE21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2.持续推进党建质量创优</w:t>
      </w:r>
    </w:p>
    <w:p w14:paraId="0992DEA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探索党建工作与业务工作深度融合，实现“一融双高”</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进一步</w:t>
      </w:r>
      <w:r>
        <w:rPr>
          <w:rFonts w:hint="eastAsia" w:ascii="Times New Roman" w:hAnsi="Times New Roman" w:eastAsia="仿宋_GB2312" w:cs="Times New Roman"/>
          <w:color w:val="auto"/>
          <w:kern w:val="0"/>
          <w:sz w:val="32"/>
          <w:szCs w:val="32"/>
        </w:rPr>
        <w:t>提升基层党组织组织功能和政治功能</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巩固全国党建工作示范高校创建成果</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申报教育部第四批标杆院系、样板支部，以优异的成绩迎接上级对学校高质量发展综合绩效考核。按照新时期好干部标准，选优配齐基层专职党务工作人员，做好“双带头人”教师党支部书记工作室验收工作</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开展“三会一课”“主题党日”“五联四进”“我为群众办实事”等活动，巩固</w:t>
      </w:r>
      <w:r>
        <w:rPr>
          <w:rFonts w:hint="eastAsia" w:ascii="Times New Roman" w:hAnsi="Times New Roman" w:eastAsia="仿宋_GB2312" w:cs="Times New Roman"/>
          <w:color w:val="FF0000"/>
          <w:kern w:val="0"/>
          <w:sz w:val="32"/>
          <w:szCs w:val="32"/>
          <w:lang w:val="en-US" w:eastAsia="zh-CN"/>
        </w:rPr>
        <w:t>学习贯彻习近平新时代中国特色社会主义思想主题教育</w:t>
      </w:r>
      <w:r>
        <w:rPr>
          <w:rFonts w:hint="eastAsia" w:ascii="Times New Roman" w:hAnsi="Times New Roman" w:eastAsia="仿宋_GB2312" w:cs="Times New Roman"/>
          <w:color w:val="auto"/>
          <w:kern w:val="0"/>
          <w:sz w:val="32"/>
          <w:szCs w:val="32"/>
          <w:lang w:val="en-US" w:eastAsia="zh-CN"/>
        </w:rPr>
        <w:t>成果，完善院系党政联席会议制度</w:t>
      </w:r>
      <w:r>
        <w:rPr>
          <w:rFonts w:hint="eastAsia" w:ascii="Times New Roman" w:hAnsi="Times New Roman" w:eastAsia="仿宋_GB2312" w:cs="Times New Roman"/>
          <w:b/>
          <w:bCs/>
          <w:color w:val="auto"/>
          <w:kern w:val="0"/>
          <w:sz w:val="32"/>
          <w:szCs w:val="32"/>
          <w:lang w:val="en-US" w:eastAsia="zh-CN"/>
        </w:rPr>
        <w:t>（组织人事处，各基层党组织）</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加强</w:t>
      </w:r>
      <w:r>
        <w:rPr>
          <w:rFonts w:hint="eastAsia" w:ascii="Times New Roman" w:hAnsi="Times New Roman" w:eastAsia="仿宋_GB2312" w:cs="Times New Roman"/>
          <w:color w:val="auto"/>
          <w:kern w:val="0"/>
          <w:sz w:val="32"/>
          <w:szCs w:val="32"/>
        </w:rPr>
        <w:t>党</w:t>
      </w:r>
      <w:r>
        <w:rPr>
          <w:rFonts w:ascii="Times New Roman" w:hAnsi="Times New Roman" w:eastAsia="仿宋_GB2312" w:cs="Times New Roman"/>
          <w:color w:val="auto"/>
          <w:kern w:val="0"/>
          <w:sz w:val="32"/>
          <w:szCs w:val="32"/>
        </w:rPr>
        <w:t>对工会、共青团和学生</w:t>
      </w:r>
      <w:r>
        <w:rPr>
          <w:rFonts w:hint="eastAsia" w:ascii="Times New Roman" w:hAnsi="Times New Roman" w:eastAsia="仿宋_GB2312" w:cs="Times New Roman"/>
          <w:color w:val="auto"/>
          <w:kern w:val="0"/>
          <w:sz w:val="32"/>
          <w:szCs w:val="32"/>
          <w:lang w:val="en-US" w:eastAsia="zh-CN"/>
        </w:rPr>
        <w:t>会等群团组织</w:t>
      </w:r>
      <w:r>
        <w:rPr>
          <w:rFonts w:ascii="Times New Roman" w:hAnsi="Times New Roman" w:eastAsia="仿宋_GB2312" w:cs="Times New Roman"/>
          <w:color w:val="auto"/>
          <w:kern w:val="0"/>
          <w:sz w:val="32"/>
          <w:szCs w:val="32"/>
        </w:rPr>
        <w:t>的领导</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深化团组织改革</w:t>
      </w:r>
      <w:r>
        <w:rPr>
          <w:rFonts w:hint="eastAsia" w:ascii="Times New Roman" w:hAnsi="Times New Roman" w:eastAsia="仿宋_GB2312" w:cs="Times New Roman"/>
          <w:b/>
          <w:bCs/>
          <w:color w:val="auto"/>
          <w:kern w:val="0"/>
          <w:sz w:val="32"/>
          <w:szCs w:val="32"/>
          <w:lang w:val="en-US" w:eastAsia="zh-CN"/>
        </w:rPr>
        <w:t>（组织人事处、校工会、学生工作处、校团委）</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深化</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清廉校园</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建设</w:t>
      </w:r>
      <w:bookmarkStart w:id="4" w:name="_GoBack"/>
      <w:bookmarkEnd w:id="4"/>
      <w:r>
        <w:rPr>
          <w:rFonts w:hint="eastAsia" w:ascii="Times New Roman" w:hAnsi="Times New Roman" w:eastAsia="仿宋_GB2312" w:cs="Times New Roman"/>
          <w:color w:val="auto"/>
          <w:kern w:val="0"/>
          <w:sz w:val="32"/>
          <w:szCs w:val="32"/>
          <w:lang w:val="en-US" w:eastAsia="zh-CN"/>
        </w:rPr>
        <w:t>，组织开展党员集中性纪律教育。加大成果产出，</w:t>
      </w:r>
      <w:r>
        <w:rPr>
          <w:rFonts w:hint="eastAsia" w:ascii="Times New Roman" w:hAnsi="Times New Roman" w:eastAsia="仿宋_GB2312" w:cs="Times New Roman"/>
          <w:color w:val="auto"/>
          <w:kern w:val="0"/>
          <w:sz w:val="32"/>
          <w:szCs w:val="32"/>
        </w:rPr>
        <w:t>新增获批省级党建工作项目（成果）</w:t>
      </w:r>
      <w:r>
        <w:rPr>
          <w:rFonts w:hint="eastAsia"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rPr>
        <w:t>项</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国家级</w:t>
      </w:r>
      <w:r>
        <w:rPr>
          <w:rFonts w:hint="eastAsia"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rPr>
        <w:t>项</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教育部党建工作标杆院系或样板支部1个，年度党建工作获省级以上表彰个人（集体）不少于4人</w:t>
      </w:r>
      <w:r>
        <w:rPr>
          <w:rFonts w:hint="eastAsia" w:ascii="Times New Roman" w:hAnsi="Times New Roman" w:eastAsia="仿宋_GB2312" w:cs="Times New Roman"/>
          <w:color w:val="auto"/>
          <w:kern w:val="0"/>
          <w:sz w:val="32"/>
          <w:szCs w:val="32"/>
          <w:highlight w:val="none"/>
          <w:lang w:val="en-US" w:eastAsia="zh-CN"/>
        </w:rPr>
        <w:t>次（个次）</w:t>
      </w:r>
      <w:r>
        <w:rPr>
          <w:rFonts w:hint="eastAsia" w:ascii="Times New Roman" w:hAnsi="Times New Roman" w:eastAsia="仿宋_GB2312" w:cs="Times New Roman"/>
          <w:b/>
          <w:bCs/>
          <w:color w:val="auto"/>
          <w:kern w:val="0"/>
          <w:sz w:val="32"/>
          <w:szCs w:val="32"/>
          <w:lang w:val="en-US" w:eastAsia="zh-CN"/>
        </w:rPr>
        <w:t>（组织人事处，各基层党组织）</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指导</w:t>
      </w:r>
      <w:r>
        <w:rPr>
          <w:rFonts w:hint="eastAsia" w:ascii="Times New Roman" w:hAnsi="Times New Roman" w:eastAsia="仿宋_GB2312" w:cs="Times New Roman"/>
          <w:color w:val="auto"/>
          <w:kern w:val="0"/>
          <w:sz w:val="32"/>
          <w:szCs w:val="32"/>
          <w:lang w:eastAsia="zh-CN"/>
        </w:rPr>
        <w:t>做好乡村振兴驻村定点帮扶</w:t>
      </w:r>
      <w:r>
        <w:rPr>
          <w:rFonts w:hint="eastAsia" w:ascii="Times New Roman" w:hAnsi="Times New Roman" w:eastAsia="仿宋_GB2312" w:cs="Times New Roman"/>
          <w:color w:val="auto"/>
          <w:kern w:val="0"/>
          <w:sz w:val="32"/>
          <w:szCs w:val="32"/>
          <w:lang w:val="en-US" w:eastAsia="zh-CN"/>
        </w:rPr>
        <w:t>工作</w:t>
      </w:r>
      <w:r>
        <w:rPr>
          <w:rFonts w:hint="eastAsia" w:ascii="Times New Roman" w:hAnsi="Times New Roman" w:eastAsia="仿宋_GB2312" w:cs="Times New Roman"/>
          <w:b/>
          <w:bCs/>
          <w:color w:val="auto"/>
          <w:kern w:val="0"/>
          <w:sz w:val="32"/>
          <w:szCs w:val="32"/>
          <w:lang w:val="en-US" w:eastAsia="zh-CN"/>
        </w:rPr>
        <w:t>（组织人事处，乡村振兴驻村工作队）</w:t>
      </w:r>
      <w:r>
        <w:rPr>
          <w:rFonts w:hint="eastAsia" w:ascii="Times New Roman" w:hAnsi="Times New Roman" w:eastAsia="仿宋_GB2312" w:cs="Times New Roman"/>
          <w:color w:val="auto"/>
          <w:kern w:val="0"/>
          <w:sz w:val="32"/>
          <w:szCs w:val="32"/>
          <w:lang w:eastAsia="zh-CN"/>
        </w:rPr>
        <w:t>。</w:t>
      </w:r>
    </w:p>
    <w:p w14:paraId="23F7BA8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bidi="ar-SA"/>
        </w:rPr>
        <w:t>3.</w:t>
      </w:r>
      <w:r>
        <w:rPr>
          <w:rFonts w:hint="eastAsia" w:ascii="Times New Roman" w:hAnsi="Times New Roman" w:eastAsia="楷体_GB2312" w:cs="Times New Roman"/>
          <w:b/>
          <w:color w:val="auto"/>
          <w:kern w:val="0"/>
          <w:sz w:val="32"/>
          <w:szCs w:val="32"/>
          <w:lang w:val="en-US" w:eastAsia="zh-CN"/>
        </w:rPr>
        <w:t>持续推进</w:t>
      </w:r>
      <w:r>
        <w:rPr>
          <w:rFonts w:ascii="Times New Roman" w:hAnsi="Times New Roman" w:eastAsia="楷体_GB2312" w:cs="Times New Roman"/>
          <w:b/>
          <w:color w:val="auto"/>
          <w:kern w:val="0"/>
          <w:sz w:val="32"/>
          <w:szCs w:val="32"/>
        </w:rPr>
        <w:t>思想</w:t>
      </w:r>
      <w:r>
        <w:rPr>
          <w:rFonts w:hint="eastAsia" w:ascii="Times New Roman" w:hAnsi="Times New Roman" w:eastAsia="楷体_GB2312" w:cs="Times New Roman"/>
          <w:b/>
          <w:color w:val="auto"/>
          <w:kern w:val="0"/>
          <w:sz w:val="32"/>
          <w:szCs w:val="32"/>
        </w:rPr>
        <w:t>政治</w:t>
      </w:r>
      <w:r>
        <w:rPr>
          <w:rFonts w:ascii="Times New Roman" w:hAnsi="Times New Roman" w:eastAsia="楷体_GB2312" w:cs="Times New Roman"/>
          <w:b/>
          <w:color w:val="auto"/>
          <w:kern w:val="0"/>
          <w:sz w:val="32"/>
          <w:szCs w:val="32"/>
        </w:rPr>
        <w:t>工作</w:t>
      </w:r>
      <w:r>
        <w:rPr>
          <w:rFonts w:hint="eastAsia" w:ascii="Times New Roman" w:hAnsi="Times New Roman" w:eastAsia="楷体_GB2312" w:cs="Times New Roman"/>
          <w:b/>
          <w:color w:val="auto"/>
          <w:kern w:val="0"/>
          <w:sz w:val="32"/>
          <w:szCs w:val="32"/>
          <w:lang w:val="en-US" w:eastAsia="zh-CN"/>
        </w:rPr>
        <w:t>创新</w:t>
      </w:r>
    </w:p>
    <w:p w14:paraId="12ACD50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b/>
          <w:bCs/>
          <w:color w:val="auto"/>
          <w:kern w:val="0"/>
          <w:sz w:val="32"/>
          <w:szCs w:val="32"/>
          <w:lang w:val="en-US" w:eastAsia="zh-CN"/>
        </w:rPr>
      </w:pPr>
      <w:bookmarkStart w:id="1" w:name="_Hlk84926356"/>
      <w:r>
        <w:rPr>
          <w:rFonts w:hint="eastAsia" w:ascii="Times New Roman" w:hAnsi="Times New Roman" w:eastAsia="仿宋_GB2312" w:cs="Times New Roman"/>
          <w:color w:val="auto"/>
          <w:kern w:val="0"/>
          <w:sz w:val="32"/>
          <w:szCs w:val="32"/>
          <w:lang w:val="en-US" w:eastAsia="zh-CN"/>
        </w:rPr>
        <w:t>实施“时代新人铸魂工程”，全方位构建社会实践育人新范式</w:t>
      </w:r>
      <w:r>
        <w:rPr>
          <w:rFonts w:hint="eastAsia" w:ascii="Times New Roman" w:hAnsi="Times New Roman" w:eastAsia="仿宋_GB2312" w:cs="Times New Roman"/>
          <w:b/>
          <w:bCs/>
          <w:color w:val="auto"/>
          <w:kern w:val="0"/>
          <w:sz w:val="32"/>
          <w:szCs w:val="32"/>
          <w:lang w:val="en-US" w:eastAsia="zh-CN"/>
        </w:rPr>
        <w:t>（组织人事处，各基层党组织）</w:t>
      </w:r>
      <w:r>
        <w:rPr>
          <w:rFonts w:hint="eastAsia" w:ascii="Times New Roman" w:hAnsi="Times New Roman" w:eastAsia="仿宋_GB2312" w:cs="Times New Roman"/>
          <w:color w:val="auto"/>
          <w:kern w:val="0"/>
          <w:sz w:val="32"/>
          <w:szCs w:val="32"/>
          <w:lang w:val="en-US" w:eastAsia="zh-CN"/>
        </w:rPr>
        <w:t>。深化新时代“大思政课”综合改革，开好</w:t>
      </w:r>
      <w:r>
        <w:rPr>
          <w:rFonts w:hint="eastAsia" w:ascii="Times New Roman" w:hAnsi="Times New Roman" w:eastAsia="仿宋_GB2312" w:cs="Times New Roman"/>
          <w:color w:val="FF0000"/>
          <w:kern w:val="0"/>
          <w:sz w:val="32"/>
          <w:szCs w:val="32"/>
          <w:lang w:val="en-US" w:eastAsia="zh-CN"/>
        </w:rPr>
        <w:t>《习近平新时代中国特色社会主义思想概论》</w:t>
      </w:r>
      <w:r>
        <w:rPr>
          <w:rFonts w:hint="eastAsia" w:ascii="Times New Roman" w:hAnsi="Times New Roman" w:eastAsia="仿宋_GB2312" w:cs="Times New Roman"/>
          <w:color w:val="auto"/>
          <w:kern w:val="0"/>
          <w:sz w:val="32"/>
          <w:szCs w:val="32"/>
          <w:lang w:val="en-US" w:eastAsia="zh-CN"/>
        </w:rPr>
        <w:t>课，</w:t>
      </w:r>
      <w:r>
        <w:rPr>
          <w:rFonts w:hint="eastAsia" w:ascii="Times New Roman" w:hAnsi="Times New Roman" w:eastAsia="仿宋_GB2312" w:cs="Times New Roman"/>
          <w:color w:val="auto"/>
          <w:kern w:val="0"/>
          <w:sz w:val="32"/>
          <w:szCs w:val="32"/>
          <w:lang w:val="en-US" w:eastAsia="zh-CN" w:bidi="ar-SA"/>
        </w:rPr>
        <w:t>开发“雷锋精神”等校本思政课</w:t>
      </w:r>
      <w:r>
        <w:rPr>
          <w:rFonts w:hint="eastAsia" w:ascii="Times New Roman" w:hAnsi="Times New Roman" w:eastAsia="仿宋_GB2312" w:cs="Times New Roman"/>
          <w:b/>
          <w:bCs/>
          <w:color w:val="auto"/>
          <w:kern w:val="0"/>
          <w:sz w:val="32"/>
          <w:szCs w:val="32"/>
          <w:lang w:val="en-US" w:eastAsia="zh-CN"/>
        </w:rPr>
        <w:t>（马克思主义学院、教务处，各教学单位）</w:t>
      </w:r>
      <w:r>
        <w:rPr>
          <w:rFonts w:hint="eastAsia" w:ascii="Times New Roman" w:hAnsi="Times New Roman" w:eastAsia="仿宋_GB2312" w:cs="Times New Roman"/>
          <w:color w:val="auto"/>
          <w:kern w:val="0"/>
          <w:sz w:val="32"/>
          <w:szCs w:val="32"/>
          <w:lang w:val="en-US" w:eastAsia="zh-CN"/>
        </w:rPr>
        <w:t>。改革创新课程思政，评选课程思政示范课和教学名师、教学团队，遴选课程思政精品案例</w:t>
      </w:r>
      <w:r>
        <w:rPr>
          <w:rFonts w:hint="eastAsia" w:ascii="Times New Roman" w:hAnsi="Times New Roman" w:eastAsia="仿宋_GB2312" w:cs="Times New Roman"/>
          <w:b/>
          <w:bCs/>
          <w:color w:val="auto"/>
          <w:kern w:val="0"/>
          <w:sz w:val="32"/>
          <w:szCs w:val="32"/>
          <w:lang w:val="en-US" w:eastAsia="zh-CN"/>
        </w:rPr>
        <w:t>（教务处，各教学单位）</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bidi="ar-SA"/>
        </w:rPr>
        <w:t>拓展思政实践教学基地，</w:t>
      </w:r>
      <w:r>
        <w:rPr>
          <w:rFonts w:hint="eastAsia" w:ascii="Times New Roman" w:hAnsi="Times New Roman" w:eastAsia="仿宋_GB2312" w:cs="Times New Roman"/>
          <w:color w:val="auto"/>
          <w:kern w:val="0"/>
          <w:sz w:val="32"/>
          <w:szCs w:val="32"/>
          <w:highlight w:val="none"/>
          <w:lang w:val="en-US" w:eastAsia="zh-CN"/>
        </w:rPr>
        <w:t>做好</w:t>
      </w:r>
      <w:r>
        <w:rPr>
          <w:rFonts w:hint="eastAsia" w:ascii="Times New Roman" w:hAnsi="Times New Roman" w:eastAsia="仿宋_GB2312" w:cs="Times New Roman"/>
          <w:color w:val="auto"/>
          <w:kern w:val="0"/>
          <w:sz w:val="32"/>
          <w:szCs w:val="32"/>
          <w:highlight w:val="none"/>
          <w:lang w:val="en-US" w:eastAsia="zh-CN" w:bidi="ar-SA"/>
        </w:rPr>
        <w:t>教育部高校思想政治工作创新发展中心（武汉东湖学院）建设工作</w:t>
      </w:r>
      <w:r>
        <w:rPr>
          <w:rFonts w:hint="eastAsia" w:ascii="Times New Roman" w:hAnsi="Times New Roman" w:eastAsia="仿宋_GB2312" w:cs="Times New Roman"/>
          <w:b/>
          <w:bCs/>
          <w:color w:val="auto"/>
          <w:kern w:val="0"/>
          <w:sz w:val="32"/>
          <w:szCs w:val="32"/>
          <w:lang w:val="en-US" w:eastAsia="zh-CN"/>
        </w:rPr>
        <w:t>（思创中心）</w:t>
      </w:r>
      <w:r>
        <w:rPr>
          <w:rFonts w:hint="eastAsia" w:ascii="Times New Roman" w:hAnsi="Times New Roman" w:eastAsia="仿宋_GB2312" w:cs="Times New Roman"/>
          <w:color w:val="auto"/>
          <w:kern w:val="0"/>
          <w:sz w:val="32"/>
          <w:szCs w:val="32"/>
          <w:lang w:val="en-US" w:eastAsia="zh-CN" w:bidi="ar-SA"/>
        </w:rPr>
        <w:t>，争创湖北省重点马克思主义学院，申报湖北省高等学校人文社会科学重点研究基地</w:t>
      </w:r>
      <w:r>
        <w:rPr>
          <w:rFonts w:hint="eastAsia" w:ascii="Times New Roman" w:hAnsi="Times New Roman" w:eastAsia="仿宋_GB2312" w:cs="Times New Roman"/>
          <w:color w:val="auto"/>
          <w:kern w:val="0"/>
          <w:sz w:val="32"/>
          <w:szCs w:val="32"/>
          <w:lang w:val="en-US" w:eastAsia="zh-CN"/>
        </w:rPr>
        <w:t>，获批部省两级思政工作精品项目不少于4项</w:t>
      </w:r>
      <w:r>
        <w:rPr>
          <w:rFonts w:hint="eastAsia" w:ascii="Times New Roman" w:hAnsi="Times New Roman" w:eastAsia="仿宋_GB2312" w:cs="Times New Roman"/>
          <w:b/>
          <w:bCs/>
          <w:color w:val="auto"/>
          <w:kern w:val="0"/>
          <w:sz w:val="32"/>
          <w:szCs w:val="32"/>
          <w:lang w:val="en-US" w:eastAsia="zh-CN"/>
        </w:rPr>
        <w:t>（马克思主义学院、学生工作处）</w:t>
      </w:r>
      <w:r>
        <w:rPr>
          <w:rFonts w:hint="eastAsia"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rPr>
        <w:t>推动管理服务力量下沉，完善网格化管理，高质量研制教育部委托的《民办高校‘一站式’学生社区综合管理模式建设标准》，打造“一站式”学生社区综合管理模式改革的“湖北样板、全国标杆”</w:t>
      </w:r>
      <w:r>
        <w:rPr>
          <w:rFonts w:hint="eastAsia" w:ascii="Times New Roman" w:hAnsi="Times New Roman" w:eastAsia="仿宋_GB2312" w:cs="Times New Roman"/>
          <w:b/>
          <w:bCs/>
          <w:color w:val="auto"/>
          <w:kern w:val="0"/>
          <w:sz w:val="32"/>
          <w:szCs w:val="32"/>
          <w:lang w:val="en-US" w:eastAsia="zh-CN"/>
        </w:rPr>
        <w:t>（学生工作处、组织人事处）</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strike w:val="0"/>
          <w:dstrike w:val="0"/>
          <w:color w:val="auto"/>
          <w:kern w:val="0"/>
          <w:sz w:val="32"/>
          <w:szCs w:val="32"/>
          <w:lang w:val="en-US" w:eastAsia="zh-CN"/>
        </w:rPr>
        <w:t>建立完善对师生思想政治、道德品质等出现负面问题及时发现、妥当处置机制</w:t>
      </w:r>
      <w:bookmarkStart w:id="2" w:name="_Hlk91250021"/>
      <w:r>
        <w:rPr>
          <w:rFonts w:hint="eastAsia" w:ascii="Times New Roman" w:hAnsi="Times New Roman" w:eastAsia="仿宋_GB2312" w:cs="Times New Roman"/>
          <w:strike w:val="0"/>
          <w:dstrike w:val="0"/>
          <w:color w:val="auto"/>
          <w:kern w:val="0"/>
          <w:sz w:val="32"/>
          <w:szCs w:val="32"/>
          <w:lang w:val="en-US" w:eastAsia="zh-CN"/>
        </w:rPr>
        <w:t>，实施家校协同育人行动</w:t>
      </w:r>
      <w:r>
        <w:rPr>
          <w:rFonts w:hint="eastAsia" w:ascii="Times New Roman" w:hAnsi="Times New Roman" w:eastAsia="仿宋_GB2312" w:cs="Times New Roman"/>
          <w:b/>
          <w:bCs/>
          <w:strike w:val="0"/>
          <w:dstrike w:val="0"/>
          <w:color w:val="auto"/>
          <w:kern w:val="0"/>
          <w:sz w:val="32"/>
          <w:szCs w:val="32"/>
          <w:lang w:val="en-US" w:eastAsia="zh-CN"/>
        </w:rPr>
        <w:t>（学生工作处、教务处、组织人事处）</w:t>
      </w:r>
      <w:r>
        <w:rPr>
          <w:rFonts w:hint="eastAsia" w:ascii="Times New Roman" w:hAnsi="Times New Roman" w:eastAsia="仿宋_GB2312" w:cs="Times New Roman"/>
          <w:strike w:val="0"/>
          <w:dstrike w:val="0"/>
          <w:color w:val="auto"/>
          <w:kern w:val="0"/>
          <w:sz w:val="32"/>
          <w:szCs w:val="32"/>
          <w:lang w:val="en-US" w:eastAsia="zh-CN"/>
        </w:rPr>
        <w:t>。</w:t>
      </w:r>
      <w:bookmarkEnd w:id="2"/>
      <w:r>
        <w:rPr>
          <w:rFonts w:hint="eastAsia" w:ascii="Times New Roman" w:hAnsi="Times New Roman" w:eastAsia="仿宋_GB2312" w:cs="Times New Roman"/>
          <w:color w:val="auto"/>
          <w:kern w:val="0"/>
          <w:sz w:val="32"/>
          <w:szCs w:val="32"/>
          <w:lang w:val="en-US" w:eastAsia="zh-CN"/>
        </w:rPr>
        <w:t>推动心理健康教育指导服务进“一站式”学生社区</w:t>
      </w:r>
      <w:r>
        <w:rPr>
          <w:rFonts w:hint="eastAsia" w:ascii="Times New Roman" w:hAnsi="Times New Roman" w:eastAsia="仿宋_GB2312" w:cs="Times New Roman"/>
          <w:color w:val="auto"/>
          <w:kern w:val="0"/>
          <w:sz w:val="32"/>
          <w:szCs w:val="32"/>
        </w:rPr>
        <w:t>，压实四级网络和加强三条工作链条（教师、辅导员、学生）建设</w:t>
      </w:r>
      <w:r>
        <w:rPr>
          <w:rFonts w:hint="eastAsia" w:ascii="Times New Roman" w:hAnsi="Times New Roman" w:eastAsia="仿宋_GB2312" w:cs="Times New Roman"/>
          <w:color w:val="auto"/>
          <w:kern w:val="0"/>
          <w:sz w:val="32"/>
          <w:szCs w:val="32"/>
          <w:lang w:val="en-US" w:eastAsia="zh-CN"/>
        </w:rPr>
        <w:t>责任</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同步开展线上线下心理健康咨询教育，切实改善学生心理健康状态，完善</w:t>
      </w:r>
      <w:r>
        <w:rPr>
          <w:rFonts w:hint="eastAsia" w:ascii="Times New Roman" w:hAnsi="Times New Roman" w:eastAsia="仿宋_GB2312" w:cs="Times New Roman"/>
          <w:color w:val="auto"/>
          <w:kern w:val="0"/>
          <w:sz w:val="32"/>
          <w:szCs w:val="32"/>
        </w:rPr>
        <w:t>学生心理健康档案</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积极创建</w:t>
      </w:r>
      <w:r>
        <w:rPr>
          <w:rFonts w:hint="eastAsia" w:ascii="Times New Roman" w:hAnsi="Times New Roman" w:eastAsia="仿宋_GB2312" w:cs="Times New Roman"/>
          <w:color w:val="auto"/>
          <w:kern w:val="0"/>
          <w:sz w:val="32"/>
          <w:szCs w:val="32"/>
        </w:rPr>
        <w:t>湖北省高校心理健康教育示范中心</w:t>
      </w:r>
      <w:r>
        <w:rPr>
          <w:rFonts w:hint="eastAsia" w:ascii="Times New Roman" w:hAnsi="Times New Roman" w:eastAsia="仿宋_GB2312" w:cs="Times New Roman"/>
          <w:b/>
          <w:bCs/>
          <w:color w:val="auto"/>
          <w:kern w:val="0"/>
          <w:sz w:val="32"/>
          <w:szCs w:val="32"/>
          <w:lang w:eastAsia="zh-CN"/>
        </w:rPr>
        <w:t>（大学生</w:t>
      </w:r>
      <w:r>
        <w:rPr>
          <w:rFonts w:hint="eastAsia" w:ascii="Times New Roman" w:hAnsi="Times New Roman" w:eastAsia="仿宋_GB2312" w:cs="Times New Roman"/>
          <w:b/>
          <w:bCs/>
          <w:color w:val="auto"/>
          <w:kern w:val="0"/>
          <w:sz w:val="32"/>
          <w:szCs w:val="32"/>
          <w:lang w:val="en-US" w:eastAsia="zh-CN"/>
        </w:rPr>
        <w:t>心理健康教育中心，各学院</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落实意识形态工作责任制和网络意识形态工作责任制，加强各类阵地管理，强化意识形态领域常态化研判，为学校发展提供良好的舆论氛围</w:t>
      </w:r>
      <w:r>
        <w:rPr>
          <w:rFonts w:hint="eastAsia" w:ascii="Times New Roman" w:hAnsi="Times New Roman" w:eastAsia="仿宋_GB2312" w:cs="Times New Roman"/>
          <w:b/>
          <w:bCs/>
          <w:color w:val="auto"/>
          <w:kern w:val="0"/>
          <w:sz w:val="32"/>
          <w:szCs w:val="32"/>
          <w:lang w:val="en-US" w:eastAsia="zh-CN"/>
        </w:rPr>
        <w:t>（党委宣传部，各基层党组织）</w:t>
      </w:r>
      <w:r>
        <w:rPr>
          <w:rFonts w:hint="eastAsia" w:ascii="Times New Roman" w:hAnsi="Times New Roman" w:eastAsia="仿宋_GB2312" w:cs="Times New Roman"/>
          <w:color w:val="auto"/>
          <w:kern w:val="0"/>
          <w:sz w:val="32"/>
          <w:szCs w:val="32"/>
          <w:lang w:val="en-US" w:eastAsia="zh-CN"/>
        </w:rPr>
        <w:t>。</w:t>
      </w:r>
    </w:p>
    <w:p w14:paraId="5C60C58B">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4.持续加强校园文化建设</w:t>
      </w:r>
    </w:p>
    <w:p w14:paraId="1461A110">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bidi="ar-SA"/>
        </w:rPr>
        <w:t>持续推进“六好”文明校园建设，创建“全国文明校园”</w:t>
      </w:r>
      <w:r>
        <w:rPr>
          <w:rFonts w:hint="eastAsia" w:ascii="Times New Roman" w:hAnsi="Times New Roman" w:eastAsia="仿宋_GB2312" w:cs="Times New Roman"/>
          <w:b/>
          <w:bCs/>
          <w:color w:val="auto"/>
          <w:kern w:val="0"/>
          <w:sz w:val="32"/>
          <w:szCs w:val="32"/>
          <w:lang w:val="en-US" w:eastAsia="zh-CN"/>
        </w:rPr>
        <w:t>（党委宣传部，各基层党组织）</w:t>
      </w:r>
      <w:r>
        <w:rPr>
          <w:rFonts w:hint="eastAsia" w:ascii="Times New Roman" w:hAnsi="Times New Roman" w:eastAsia="仿宋_GB2312" w:cs="Times New Roman"/>
          <w:color w:val="auto"/>
          <w:kern w:val="0"/>
          <w:sz w:val="32"/>
          <w:szCs w:val="32"/>
          <w:lang w:val="en-US" w:eastAsia="zh-CN" w:bidi="ar-SA"/>
        </w:rPr>
        <w:t>。</w:t>
      </w:r>
      <w:bookmarkEnd w:id="1"/>
      <w:r>
        <w:rPr>
          <w:rFonts w:hint="eastAsia" w:ascii="Times New Roman" w:hAnsi="Times New Roman" w:eastAsia="仿宋_GB2312" w:cs="Times New Roman"/>
          <w:color w:val="auto"/>
          <w:kern w:val="0"/>
          <w:sz w:val="32"/>
          <w:szCs w:val="32"/>
          <w:lang w:val="en-US" w:eastAsia="zh-CN" w:bidi="ar-SA"/>
        </w:rPr>
        <w:t>加强校园文化设施建设，</w:t>
      </w:r>
      <w:r>
        <w:rPr>
          <w:rFonts w:hint="eastAsia" w:ascii="Times New Roman" w:hAnsi="Times New Roman" w:eastAsia="仿宋_GB2312" w:cs="Times New Roman"/>
          <w:color w:val="auto"/>
          <w:kern w:val="0"/>
          <w:sz w:val="32"/>
          <w:szCs w:val="32"/>
          <w:lang w:val="en-US" w:eastAsia="zh-CN"/>
        </w:rPr>
        <w:t>在两个区增设部分文化雕塑</w:t>
      </w:r>
      <w:r>
        <w:rPr>
          <w:rFonts w:hint="eastAsia" w:ascii="Times New Roman" w:hAnsi="Times New Roman" w:eastAsia="仿宋_GB2312" w:cs="Times New Roman"/>
          <w:b/>
          <w:bCs/>
          <w:color w:val="auto"/>
          <w:kern w:val="0"/>
          <w:sz w:val="32"/>
          <w:szCs w:val="32"/>
          <w:lang w:val="en-US" w:eastAsia="zh-CN"/>
        </w:rPr>
        <w:t>（后勤保卫处、党委宣传部）</w:t>
      </w:r>
      <w:r>
        <w:rPr>
          <w:rFonts w:hint="eastAsia" w:ascii="Times New Roman" w:hAnsi="Times New Roman" w:eastAsia="仿宋_GB2312" w:cs="Times New Roman"/>
          <w:b/>
          <w:bCs/>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lang w:val="en-US" w:eastAsia="zh-CN"/>
        </w:rPr>
        <w:t>用好雷锋文史馆</w:t>
      </w:r>
      <w:r>
        <w:rPr>
          <w:rFonts w:hint="eastAsia" w:ascii="Times New Roman" w:hAnsi="Times New Roman" w:eastAsia="仿宋_GB2312" w:cs="Times New Roman"/>
          <w:b/>
          <w:bCs/>
          <w:color w:val="auto"/>
          <w:kern w:val="0"/>
          <w:sz w:val="32"/>
          <w:szCs w:val="32"/>
          <w:lang w:val="en-US" w:eastAsia="zh-CN"/>
        </w:rPr>
        <w:t>（图书馆、党委宣传部、南校区）</w:t>
      </w:r>
      <w:r>
        <w:rPr>
          <w:rFonts w:hint="eastAsia" w:ascii="Times New Roman" w:hAnsi="Times New Roman" w:eastAsia="仿宋_GB2312" w:cs="Times New Roman"/>
          <w:color w:val="auto"/>
          <w:kern w:val="0"/>
          <w:sz w:val="32"/>
          <w:szCs w:val="32"/>
          <w:lang w:val="en-US" w:eastAsia="zh-CN"/>
        </w:rPr>
        <w:t>。丰富</w:t>
      </w:r>
      <w:r>
        <w:rPr>
          <w:rFonts w:hint="eastAsia" w:ascii="Times New Roman" w:hAnsi="Times New Roman" w:eastAsia="仿宋_GB2312" w:cs="Times New Roman"/>
          <w:color w:val="auto"/>
          <w:kern w:val="0"/>
          <w:sz w:val="32"/>
          <w:szCs w:val="32"/>
        </w:rPr>
        <w:t>校园文化活动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擦亮校园文化“四节”和“一院一品”特色</w:t>
      </w:r>
      <w:r>
        <w:rPr>
          <w:rFonts w:hint="eastAsia" w:ascii="Times New Roman" w:hAnsi="Times New Roman" w:eastAsia="仿宋_GB2312" w:cs="Times New Roman"/>
          <w:color w:val="auto"/>
          <w:kern w:val="0"/>
          <w:sz w:val="32"/>
          <w:szCs w:val="32"/>
        </w:rPr>
        <w:t>文化活动品牌</w:t>
      </w:r>
      <w:r>
        <w:rPr>
          <w:rFonts w:hint="eastAsia" w:ascii="Times New Roman" w:hAnsi="Times New Roman" w:eastAsia="仿宋_GB2312" w:cs="Times New Roman"/>
          <w:b/>
          <w:bCs/>
          <w:strike w:val="0"/>
          <w:dstrike w:val="0"/>
          <w:color w:val="auto"/>
          <w:kern w:val="0"/>
          <w:sz w:val="32"/>
          <w:szCs w:val="32"/>
          <w:lang w:val="en-US" w:eastAsia="zh-CN"/>
        </w:rPr>
        <w:t>（学生工作处，</w:t>
      </w:r>
      <w:r>
        <w:rPr>
          <w:rFonts w:hint="eastAsia" w:ascii="Times New Roman" w:hAnsi="Times New Roman" w:eastAsia="仿宋_GB2312" w:cs="Times New Roman"/>
          <w:b/>
          <w:bCs/>
          <w:color w:val="auto"/>
          <w:kern w:val="0"/>
          <w:sz w:val="32"/>
          <w:szCs w:val="32"/>
          <w:lang w:val="en-US" w:eastAsia="zh-CN"/>
        </w:rPr>
        <w:t>各基层党组织</w:t>
      </w:r>
      <w:r>
        <w:rPr>
          <w:rFonts w:hint="eastAsia" w:ascii="Times New Roman" w:hAnsi="Times New Roman" w:eastAsia="仿宋_GB2312" w:cs="Times New Roman"/>
          <w:b/>
          <w:bCs/>
          <w:strike w:val="0"/>
          <w:dstrike w:val="0"/>
          <w:color w:val="auto"/>
          <w:kern w:val="0"/>
          <w:sz w:val="32"/>
          <w:szCs w:val="32"/>
          <w:lang w:val="en-US" w:eastAsia="zh-CN"/>
        </w:rPr>
        <w:t>）</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探索第二课堂成绩单制度，营造浓厚的校园科技文化氛围</w:t>
      </w:r>
      <w:r>
        <w:rPr>
          <w:rFonts w:hint="eastAsia" w:ascii="Times New Roman" w:hAnsi="Times New Roman" w:eastAsia="仿宋_GB2312" w:cs="Times New Roman"/>
          <w:b/>
          <w:bCs/>
          <w:strike w:val="0"/>
          <w:dstrike w:val="0"/>
          <w:color w:val="auto"/>
          <w:kern w:val="0"/>
          <w:sz w:val="32"/>
          <w:szCs w:val="32"/>
          <w:lang w:val="en-US" w:eastAsia="zh-CN"/>
        </w:rPr>
        <w:t>（学生工作处、教务处、科研处）</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积极参与全国大学生网络文化节和全国高校网络教育优秀作品推选展示活动，</w:t>
      </w:r>
      <w:r>
        <w:rPr>
          <w:rFonts w:hint="eastAsia" w:ascii="Times New Roman" w:hAnsi="Times New Roman" w:eastAsia="仿宋_GB2312" w:cs="Times New Roman"/>
          <w:color w:val="auto"/>
          <w:kern w:val="0"/>
          <w:sz w:val="32"/>
          <w:szCs w:val="32"/>
          <w:lang w:val="en-US" w:eastAsia="zh-CN"/>
        </w:rPr>
        <w:t>充分挖掘东湖人、东湖事典型案例，</w:t>
      </w:r>
      <w:r>
        <w:rPr>
          <w:rFonts w:hint="eastAsia" w:ascii="Times New Roman" w:hAnsi="Times New Roman" w:eastAsia="仿宋_GB2312" w:cs="Times New Roman"/>
          <w:color w:val="auto"/>
          <w:kern w:val="0"/>
          <w:sz w:val="32"/>
          <w:szCs w:val="32"/>
          <w:lang w:eastAsia="zh-CN"/>
        </w:rPr>
        <w:t>讲好东湖故事。</w:t>
      </w:r>
      <w:r>
        <w:rPr>
          <w:rFonts w:hint="eastAsia" w:ascii="Times New Roman" w:hAnsi="Times New Roman" w:eastAsia="仿宋_GB2312" w:cs="Times New Roman"/>
          <w:color w:val="auto"/>
          <w:kern w:val="0"/>
          <w:sz w:val="32"/>
          <w:szCs w:val="32"/>
        </w:rPr>
        <w:t>继续开展以“亮身份、树形象，亮工作、增效率，亮服务、创业绩”为主题的“七大先锋岗”评选活动，开展“青春使命”“技能成才强国有我”等主题教育活动。健全</w:t>
      </w:r>
      <w:r>
        <w:rPr>
          <w:rFonts w:hint="eastAsia" w:ascii="Times New Roman" w:hAnsi="Times New Roman" w:eastAsia="仿宋_GB2312" w:cs="Times New Roman"/>
          <w:color w:val="auto"/>
          <w:kern w:val="0"/>
          <w:sz w:val="32"/>
          <w:szCs w:val="32"/>
          <w:lang w:val="en-US" w:eastAsia="zh-CN"/>
        </w:rPr>
        <w:t>完善</w:t>
      </w:r>
      <w:r>
        <w:rPr>
          <w:rFonts w:hint="eastAsia" w:ascii="Times New Roman" w:hAnsi="Times New Roman" w:eastAsia="仿宋_GB2312" w:cs="Times New Roman"/>
          <w:color w:val="auto"/>
          <w:kern w:val="0"/>
          <w:sz w:val="32"/>
          <w:szCs w:val="32"/>
        </w:rPr>
        <w:t>南校区团学组织，组织好校园文化活动和文化建设</w:t>
      </w:r>
      <w:r>
        <w:rPr>
          <w:rFonts w:hint="eastAsia" w:ascii="Times New Roman" w:hAnsi="Times New Roman" w:eastAsia="仿宋_GB2312" w:cs="Times New Roman"/>
          <w:b/>
          <w:bCs/>
          <w:strike w:val="0"/>
          <w:dstrike w:val="0"/>
          <w:color w:val="auto"/>
          <w:kern w:val="0"/>
          <w:sz w:val="32"/>
          <w:szCs w:val="32"/>
          <w:lang w:val="en-US" w:eastAsia="zh-CN"/>
        </w:rPr>
        <w:t>（党委宣传部、学生工作处、组织人事处）</w:t>
      </w:r>
      <w:r>
        <w:rPr>
          <w:rFonts w:hint="eastAsia" w:ascii="Times New Roman" w:hAnsi="Times New Roman" w:eastAsia="仿宋_GB2312" w:cs="Times New Roman"/>
          <w:color w:val="auto"/>
          <w:kern w:val="0"/>
          <w:sz w:val="32"/>
          <w:szCs w:val="32"/>
        </w:rPr>
        <w:t>。</w:t>
      </w:r>
    </w:p>
    <w:p w14:paraId="5F14963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黑体" w:cs="Times New Roman"/>
          <w:color w:val="auto"/>
          <w:kern w:val="0"/>
          <w:sz w:val="32"/>
          <w:szCs w:val="32"/>
          <w:lang w:val="en-US" w:eastAsia="zh-CN" w:bidi="ar-SA"/>
        </w:rPr>
        <w:t>二、</w:t>
      </w:r>
      <w:r>
        <w:rPr>
          <w:rFonts w:hint="eastAsia" w:ascii="Times New Roman" w:hAnsi="Times New Roman" w:eastAsia="黑体" w:cs="Times New Roman"/>
          <w:color w:val="auto"/>
          <w:kern w:val="0"/>
          <w:sz w:val="32"/>
          <w:szCs w:val="32"/>
        </w:rPr>
        <w:t>对标审核评估要求，</w:t>
      </w:r>
      <w:r>
        <w:rPr>
          <w:rFonts w:hint="eastAsia" w:ascii="Times New Roman" w:hAnsi="Times New Roman" w:eastAsia="黑体" w:cs="Times New Roman"/>
          <w:color w:val="auto"/>
          <w:kern w:val="0"/>
          <w:sz w:val="32"/>
          <w:szCs w:val="32"/>
          <w:lang w:val="en-US" w:eastAsia="zh-CN"/>
        </w:rPr>
        <w:t>提升</w:t>
      </w:r>
      <w:r>
        <w:rPr>
          <w:rFonts w:hint="eastAsia" w:ascii="Times New Roman" w:hAnsi="Times New Roman" w:eastAsia="黑体" w:cs="Times New Roman"/>
          <w:color w:val="auto"/>
          <w:kern w:val="0"/>
          <w:sz w:val="32"/>
          <w:szCs w:val="32"/>
        </w:rPr>
        <w:t>教育</w:t>
      </w:r>
      <w:r>
        <w:rPr>
          <w:rFonts w:ascii="Times New Roman" w:hAnsi="Times New Roman" w:eastAsia="黑体" w:cs="Times New Roman"/>
          <w:color w:val="auto"/>
          <w:kern w:val="0"/>
          <w:sz w:val="32"/>
          <w:szCs w:val="32"/>
        </w:rPr>
        <w:t>教学质量</w:t>
      </w:r>
      <w:r>
        <w:rPr>
          <w:rFonts w:hint="eastAsia" w:ascii="Times New Roman" w:hAnsi="Times New Roman" w:eastAsia="仿宋_GB2312" w:cs="Times New Roman"/>
          <w:color w:val="auto"/>
          <w:kern w:val="0"/>
          <w:sz w:val="32"/>
          <w:szCs w:val="32"/>
          <w:highlight w:val="none"/>
          <w:lang w:val="en-US" w:eastAsia="zh-CN"/>
        </w:rPr>
        <w:t xml:space="preserve"> </w:t>
      </w:r>
    </w:p>
    <w:p w14:paraId="146E92A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楷体_GB2312" w:eastAsia="楷体_GB2312" w:cs="楷体_GB2312"/>
          <w:b/>
          <w:color w:val="auto"/>
          <w:kern w:val="0"/>
          <w:sz w:val="32"/>
          <w:szCs w:val="32"/>
          <w:lang w:eastAsia="zh-CN"/>
        </w:rPr>
      </w:pPr>
      <w:r>
        <w:rPr>
          <w:rFonts w:hint="eastAsia" w:ascii="楷体_GB2312" w:hAnsi="楷体_GB2312" w:eastAsia="楷体_GB2312" w:cs="楷体_GB2312"/>
          <w:b/>
          <w:color w:val="auto"/>
          <w:kern w:val="0"/>
          <w:sz w:val="32"/>
          <w:szCs w:val="32"/>
          <w:lang w:val="en-US" w:eastAsia="zh-CN"/>
        </w:rPr>
        <w:t>5.推进</w:t>
      </w:r>
      <w:r>
        <w:rPr>
          <w:rFonts w:hint="eastAsia" w:ascii="楷体_GB2312" w:hAnsi="楷体_GB2312" w:eastAsia="楷体_GB2312" w:cs="楷体_GB2312"/>
          <w:b/>
          <w:color w:val="auto"/>
          <w:kern w:val="0"/>
          <w:sz w:val="32"/>
          <w:szCs w:val="32"/>
        </w:rPr>
        <w:t>审核评估</w:t>
      </w:r>
      <w:r>
        <w:rPr>
          <w:rFonts w:hint="eastAsia" w:ascii="楷体_GB2312" w:hAnsi="楷体_GB2312" w:eastAsia="楷体_GB2312" w:cs="楷体_GB2312"/>
          <w:b/>
          <w:color w:val="auto"/>
          <w:kern w:val="0"/>
          <w:sz w:val="32"/>
          <w:szCs w:val="32"/>
          <w:lang w:val="en-US" w:eastAsia="zh-CN"/>
        </w:rPr>
        <w:t>工作</w:t>
      </w:r>
    </w:p>
    <w:p w14:paraId="76A67B5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系统组织、全面推进审核评估各项工作，每月编印《评估工作简报》</w:t>
      </w:r>
      <w:r>
        <w:rPr>
          <w:rFonts w:hint="eastAsia" w:ascii="Times New Roman" w:hAnsi="Times New Roman" w:eastAsia="仿宋_GB2312" w:cs="Times New Roman"/>
          <w:b/>
          <w:bCs/>
          <w:color w:val="auto"/>
          <w:kern w:val="0"/>
          <w:sz w:val="32"/>
          <w:szCs w:val="32"/>
          <w:lang w:val="en-US" w:eastAsia="zh-CN"/>
        </w:rPr>
        <w:t>（审核评估办公室）</w:t>
      </w:r>
      <w:r>
        <w:rPr>
          <w:rFonts w:hint="eastAsia" w:ascii="Times New Roman" w:hAnsi="Times New Roman" w:eastAsia="仿宋_GB2312" w:cs="Times New Roman"/>
          <w:color w:val="auto"/>
          <w:kern w:val="0"/>
          <w:sz w:val="32"/>
          <w:szCs w:val="32"/>
          <w:lang w:val="en-US" w:eastAsia="zh-CN"/>
        </w:rPr>
        <w:t>。上半年实行“每月一推进、每季度一检查”，组织全员进一步研学教育部《审核评估实施方案》和《审核评估精要导读》《审核评估高校评建改工作指南（试用稿）》，编印《武汉东湖学院审核评估应知应会学习手册》，开展校院两级评估专题培训和到试点评估高校学习考察，组织新一轮教育思想大讨论和暑期本科教学工作会议；下半年实行“每周一推进、每月一检查”，全面开展资料搜集整理汇编，基本完成评估要求的各项材料</w:t>
      </w:r>
      <w:r>
        <w:rPr>
          <w:rFonts w:hint="eastAsia" w:ascii="Times New Roman" w:hAnsi="Times New Roman" w:eastAsia="仿宋_GB2312" w:cs="Times New Roman"/>
          <w:b/>
          <w:bCs/>
          <w:color w:val="auto"/>
          <w:kern w:val="0"/>
          <w:sz w:val="32"/>
          <w:szCs w:val="32"/>
          <w:lang w:val="en-US" w:eastAsia="zh-CN"/>
        </w:rPr>
        <w:t>（审核评估办公室、教务处，各单位、各部门）。</w:t>
      </w:r>
    </w:p>
    <w:p w14:paraId="1137D52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对照审核评估指标体系（第二类）要求，有效衔接学校“两个一流”建设和“十四五”发展规划重点指标和重要工作项目，全面搜集整理各审核重点的自评情况、具体做法、效果成绩、经验不足等，形成完整的评估支撑材料目录、材料综述和问题清单，查找问题原因，提出整改措施，及时开展建设；全面系统清理教育教学制度、教学规范文件及其执行情况，编制学校教育教学重要文件制度汇编</w:t>
      </w:r>
      <w:r>
        <w:rPr>
          <w:rFonts w:hint="eastAsia" w:ascii="Times New Roman" w:hAnsi="Times New Roman" w:eastAsia="仿宋_GB2312" w:cs="Times New Roman"/>
          <w:b/>
          <w:bCs/>
          <w:color w:val="auto"/>
          <w:kern w:val="0"/>
          <w:sz w:val="32"/>
          <w:szCs w:val="32"/>
          <w:lang w:val="en-US" w:eastAsia="zh-CN"/>
        </w:rPr>
        <w:t>（教务处、审核评估办公室，各教学单位、有关部门）</w:t>
      </w:r>
      <w:r>
        <w:rPr>
          <w:rFonts w:hint="eastAsia" w:ascii="Times New Roman" w:hAnsi="Times New Roman" w:eastAsia="仿宋_GB2312" w:cs="Times New Roman"/>
          <w:color w:val="auto"/>
          <w:kern w:val="0"/>
          <w:sz w:val="32"/>
          <w:szCs w:val="32"/>
          <w:lang w:val="en-US" w:eastAsia="zh-CN"/>
        </w:rPr>
        <w:t>。在全面系统自评基础上，起草形成《自评报告》《特色专业发展报告》、上一轮合格评估《整改情况说明》</w:t>
      </w:r>
      <w:r>
        <w:rPr>
          <w:rFonts w:hint="eastAsia" w:ascii="Times New Roman" w:hAnsi="Times New Roman" w:eastAsia="仿宋_GB2312" w:cs="Times New Roman"/>
          <w:b/>
          <w:bCs/>
          <w:color w:val="auto"/>
          <w:kern w:val="0"/>
          <w:sz w:val="32"/>
          <w:szCs w:val="32"/>
          <w:lang w:val="en-US" w:eastAsia="zh-CN"/>
        </w:rPr>
        <w:t>（审核评估办公室，教务处、发展规划处）</w:t>
      </w:r>
      <w:r>
        <w:rPr>
          <w:rFonts w:hint="eastAsia" w:ascii="Times New Roman" w:hAnsi="Times New Roman" w:eastAsia="仿宋_GB2312" w:cs="Times New Roman"/>
          <w:color w:val="auto"/>
          <w:kern w:val="0"/>
          <w:sz w:val="32"/>
          <w:szCs w:val="32"/>
          <w:lang w:val="en-US" w:eastAsia="zh-CN"/>
        </w:rPr>
        <w:t>。</w:t>
      </w:r>
    </w:p>
    <w:p w14:paraId="2321E91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default"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6.加强教学质量文化建设</w:t>
      </w:r>
    </w:p>
    <w:p w14:paraId="6BCF085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default"/>
          <w:color w:val="auto"/>
          <w:sz w:val="32"/>
          <w:szCs w:val="32"/>
          <w:lang w:val="en-US" w:eastAsia="zh-CN"/>
        </w:rPr>
      </w:pPr>
      <w:r>
        <w:rPr>
          <w:rFonts w:hint="eastAsia" w:ascii="Times New Roman" w:hAnsi="Times New Roman" w:eastAsia="仿宋_GB2312" w:cs="Times New Roman"/>
          <w:color w:val="auto"/>
          <w:kern w:val="0"/>
          <w:sz w:val="32"/>
          <w:szCs w:val="32"/>
        </w:rPr>
        <w:t>把“一根本、两突出、三强化、五个度”</w:t>
      </w:r>
      <w:r>
        <w:rPr>
          <w:rFonts w:hint="eastAsia" w:ascii="Times New Roman" w:hAnsi="Times New Roman" w:eastAsia="仿宋_GB2312" w:cs="Times New Roman"/>
          <w:color w:val="auto"/>
          <w:kern w:val="0"/>
          <w:sz w:val="32"/>
          <w:szCs w:val="32"/>
          <w:lang w:val="en-US" w:eastAsia="zh-CN"/>
        </w:rPr>
        <w:t>的评估要素</w:t>
      </w:r>
      <w:r>
        <w:rPr>
          <w:rFonts w:hint="eastAsia" w:ascii="Times New Roman" w:hAnsi="Times New Roman" w:eastAsia="仿宋_GB2312" w:cs="Times New Roman"/>
          <w:color w:val="auto"/>
          <w:kern w:val="0"/>
          <w:sz w:val="32"/>
          <w:szCs w:val="32"/>
        </w:rPr>
        <w:t>作为学校</w:t>
      </w:r>
      <w:r>
        <w:rPr>
          <w:rFonts w:hint="eastAsia" w:ascii="Times New Roman" w:hAnsi="Times New Roman" w:eastAsia="仿宋_GB2312" w:cs="Times New Roman"/>
          <w:color w:val="auto"/>
          <w:kern w:val="0"/>
          <w:sz w:val="32"/>
          <w:szCs w:val="32"/>
          <w:lang w:val="en-US" w:eastAsia="zh-CN"/>
        </w:rPr>
        <w:t>质量文化</w:t>
      </w:r>
      <w:r>
        <w:rPr>
          <w:rFonts w:hint="eastAsia" w:ascii="Times New Roman" w:hAnsi="Times New Roman" w:eastAsia="仿宋_GB2312" w:cs="Times New Roman"/>
          <w:color w:val="auto"/>
          <w:kern w:val="0"/>
          <w:sz w:val="32"/>
          <w:szCs w:val="32"/>
        </w:rPr>
        <w:t>的</w:t>
      </w:r>
      <w:r>
        <w:rPr>
          <w:rFonts w:hint="eastAsia" w:ascii="Times New Roman" w:hAnsi="Times New Roman" w:eastAsia="仿宋_GB2312" w:cs="Times New Roman"/>
          <w:color w:val="auto"/>
          <w:kern w:val="0"/>
          <w:sz w:val="32"/>
          <w:szCs w:val="32"/>
          <w:lang w:val="en-US" w:eastAsia="zh-CN"/>
        </w:rPr>
        <w:t>落脚点</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逐步形成“自觉、自省、自律、自查、自纠”的质量文化，</w:t>
      </w:r>
      <w:r>
        <w:rPr>
          <w:rFonts w:hint="eastAsia" w:ascii="Times New Roman" w:hAnsi="Times New Roman" w:eastAsia="仿宋_GB2312" w:cs="Times New Roman"/>
          <w:color w:val="auto"/>
          <w:kern w:val="0"/>
          <w:sz w:val="32"/>
          <w:szCs w:val="32"/>
          <w:lang w:val="en-US" w:eastAsia="zh-CN" w:bidi="ar-SA"/>
        </w:rPr>
        <w:t>完善教学各环节质量标准</w:t>
      </w:r>
      <w:r>
        <w:rPr>
          <w:rFonts w:hint="eastAsia" w:ascii="Times New Roman" w:hAnsi="Times New Roman" w:eastAsia="仿宋_GB2312" w:cs="Times New Roman"/>
          <w:b/>
          <w:bCs/>
          <w:color w:val="auto"/>
          <w:kern w:val="0"/>
          <w:sz w:val="32"/>
          <w:szCs w:val="32"/>
          <w:lang w:val="en-US" w:eastAsia="zh-CN" w:bidi="ar-SA"/>
        </w:rPr>
        <w:t>（教育教学监测与评估中心、教务处）</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加强课堂秩序检查督查，常态化开展听课巡课，定期召开工作分析会，评选“优质课堂”</w:t>
      </w:r>
      <w:r>
        <w:rPr>
          <w:rFonts w:hint="eastAsia"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bCs/>
          <w:color w:val="auto"/>
          <w:sz w:val="32"/>
          <w:szCs w:val="32"/>
          <w:highlight w:val="none"/>
          <w:lang w:val="en-US" w:eastAsia="zh-CN"/>
        </w:rPr>
        <w:t>组织开展人才培养方案、课程教学大纲、教学日历、教案、学生作业、毕业论文（报告）、试卷专项检查和一流专业、一流课程、教材建设的专项评估，规范各种档案整理。</w:t>
      </w:r>
      <w:r>
        <w:rPr>
          <w:rFonts w:hint="eastAsia" w:ascii="Times New Roman" w:hAnsi="Times New Roman" w:eastAsia="仿宋_GB2312" w:cs="Times New Roman"/>
          <w:color w:val="auto"/>
          <w:kern w:val="0"/>
          <w:sz w:val="32"/>
          <w:szCs w:val="32"/>
          <w:highlight w:val="none"/>
        </w:rPr>
        <w:t>引入专业机构开展第三方评价</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rPr>
        <w:t>利用信息化手段改进评教评学等监测检查办法</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强化评教评学结果应用</w:t>
      </w:r>
      <w:r>
        <w:rPr>
          <w:rFonts w:hint="eastAsia" w:ascii="仿宋_GB2312" w:hAnsi="仿宋_GB2312" w:eastAsia="仿宋_GB2312" w:cs="仿宋_GB2312"/>
          <w:bCs/>
          <w:color w:val="auto"/>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支持</w:t>
      </w:r>
      <w:r>
        <w:rPr>
          <w:rFonts w:hint="eastAsia" w:ascii="Times New Roman" w:hAnsi="Times New Roman" w:eastAsia="仿宋_GB2312" w:cs="Times New Roman"/>
          <w:color w:val="auto"/>
          <w:kern w:val="0"/>
          <w:sz w:val="32"/>
          <w:szCs w:val="32"/>
        </w:rPr>
        <w:t>相关专业试点开展专业认证</w:t>
      </w:r>
      <w:r>
        <w:rPr>
          <w:rFonts w:hint="eastAsia" w:ascii="Times New Roman" w:hAnsi="Times New Roman" w:eastAsia="仿宋_GB2312" w:cs="Times New Roman"/>
          <w:b/>
          <w:bCs/>
          <w:color w:val="auto"/>
          <w:kern w:val="0"/>
          <w:sz w:val="32"/>
          <w:szCs w:val="32"/>
          <w:lang w:val="en-US" w:eastAsia="zh-CN" w:bidi="ar-SA"/>
        </w:rPr>
        <w:t>（教育教学监测与评估中心、教务处，各教学单位）</w:t>
      </w:r>
      <w:r>
        <w:rPr>
          <w:rFonts w:hint="eastAsia" w:ascii="Times New Roman" w:hAnsi="Times New Roman" w:eastAsia="仿宋_GB2312" w:cs="Times New Roman"/>
          <w:color w:val="auto"/>
          <w:kern w:val="0"/>
          <w:sz w:val="32"/>
          <w:szCs w:val="32"/>
        </w:rPr>
        <w:t>。</w:t>
      </w:r>
    </w:p>
    <w:p w14:paraId="1D513B4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三、深化内涵建设，开创教育教学与学生工作新局面</w:t>
      </w:r>
    </w:p>
    <w:p w14:paraId="0295430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7.推进人才培养改革</w:t>
      </w:r>
    </w:p>
    <w:p w14:paraId="50680E02">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紧扣学校办学定位和应用型人才培养目标，对照专业类教学质量国家标准和专业认证标准，</w:t>
      </w:r>
      <w:r>
        <w:rPr>
          <w:rFonts w:hint="eastAsia" w:ascii="Times New Roman" w:hAnsi="Times New Roman" w:eastAsia="仿宋_GB2312" w:cs="Times New Roman"/>
          <w:b w:val="0"/>
          <w:bCs w:val="0"/>
          <w:color w:val="auto"/>
          <w:kern w:val="0"/>
          <w:sz w:val="32"/>
          <w:szCs w:val="32"/>
          <w:lang w:val="en-US" w:eastAsia="zh-CN"/>
        </w:rPr>
        <w:t>修订完善</w:t>
      </w:r>
      <w:r>
        <w:rPr>
          <w:rFonts w:hint="eastAsia" w:ascii="Times New Roman" w:hAnsi="Times New Roman" w:eastAsia="仿宋_GB2312" w:cs="Times New Roman"/>
          <w:b w:val="0"/>
          <w:bCs w:val="0"/>
          <w:color w:val="auto"/>
          <w:kern w:val="0"/>
          <w:sz w:val="32"/>
          <w:szCs w:val="32"/>
          <w:highlight w:val="none"/>
          <w:lang w:val="en-US" w:eastAsia="zh-CN"/>
        </w:rPr>
        <w:t>2022版</w:t>
      </w:r>
      <w:r>
        <w:rPr>
          <w:rFonts w:hint="eastAsia" w:ascii="Times New Roman" w:hAnsi="Times New Roman" w:eastAsia="仿宋_GB2312" w:cs="Times New Roman"/>
          <w:b w:val="0"/>
          <w:bCs w:val="0"/>
          <w:color w:val="auto"/>
          <w:kern w:val="0"/>
          <w:sz w:val="32"/>
          <w:szCs w:val="32"/>
          <w:lang w:val="en-US" w:eastAsia="zh-CN"/>
        </w:rPr>
        <w:t>人才培养方案。</w:t>
      </w:r>
      <w:r>
        <w:rPr>
          <w:rFonts w:hint="eastAsia" w:ascii="Times New Roman" w:hAnsi="Times New Roman" w:eastAsia="仿宋_GB2312" w:cs="Times New Roman"/>
          <w:color w:val="auto"/>
          <w:kern w:val="0"/>
          <w:sz w:val="32"/>
          <w:szCs w:val="32"/>
          <w:lang w:val="en-US" w:eastAsia="zh-CN"/>
        </w:rPr>
        <w:t>做实学校“一个中心、四个面向”应用型人才培养模式改革，聚焦培养目标的达成度考察</w:t>
      </w:r>
      <w:r>
        <w:rPr>
          <w:rFonts w:hint="eastAsia" w:ascii="Times New Roman" w:hAnsi="Times New Roman" w:eastAsia="仿宋_GB2312" w:cs="Times New Roman"/>
          <w:b/>
          <w:bCs/>
          <w:color w:val="auto"/>
          <w:kern w:val="0"/>
          <w:sz w:val="32"/>
          <w:szCs w:val="32"/>
          <w:lang w:val="en-US" w:eastAsia="zh-CN"/>
        </w:rPr>
        <w:t>（教务处，各教学单位）</w:t>
      </w:r>
      <w:r>
        <w:rPr>
          <w:rFonts w:hint="eastAsia" w:ascii="Times New Roman" w:hAnsi="Times New Roman" w:eastAsia="仿宋_GB2312" w:cs="Times New Roman"/>
          <w:color w:val="auto"/>
          <w:kern w:val="0"/>
          <w:sz w:val="32"/>
          <w:szCs w:val="32"/>
          <w:lang w:val="en-US" w:eastAsia="zh-CN"/>
        </w:rPr>
        <w:t>。</w:t>
      </w:r>
    </w:p>
    <w:p w14:paraId="6790B3EA">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深化专业供给侧改革，按照有关部门发布的《湖北急需专业引导发展清单》，升级存量、优化增量、消减余量，调整8%左右专业，编制《学校专业建设与发展规划》。优化调整教学单位和教学组织。以招生就业数据、培养质量、师资队伍、实验条件等为依据，加大本专科专业调整和学科交叉融合力度；深化拓展新工科、新文科、新医科建设，加大学校国家级、省级一流本科专业建设投入；打造特色优势专业，每个学院重点建设一个优势专业，编制《特色专业发展报告》</w:t>
      </w:r>
      <w:r>
        <w:rPr>
          <w:rFonts w:hint="eastAsia" w:ascii="Times New Roman" w:hAnsi="Times New Roman" w:eastAsia="仿宋_GB2312" w:cs="Times New Roman"/>
          <w:b/>
          <w:bCs/>
          <w:color w:val="auto"/>
          <w:kern w:val="0"/>
          <w:sz w:val="32"/>
          <w:szCs w:val="32"/>
          <w:lang w:val="en-US" w:eastAsia="zh-CN"/>
        </w:rPr>
        <w:t>（教务处，各教学单位）</w:t>
      </w:r>
      <w:r>
        <w:rPr>
          <w:rFonts w:hint="eastAsia" w:ascii="Times New Roman" w:hAnsi="Times New Roman" w:eastAsia="仿宋_GB2312" w:cs="Times New Roman"/>
          <w:color w:val="auto"/>
          <w:kern w:val="0"/>
          <w:sz w:val="32"/>
          <w:szCs w:val="32"/>
          <w:lang w:val="en-US" w:eastAsia="zh-CN"/>
        </w:rPr>
        <w:t>。</w:t>
      </w:r>
    </w:p>
    <w:p w14:paraId="2468013D">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加强课程建设与改革，统筹推进校、省、国家三级一流课程建设，拟定学校《一流课程建设实施方案》，落实学校“5432”校企合作共建课程要求，丰富行业企业课程资源库、真实项目案例库。力争新增国家级一流课程2门；大学英语四级通过率不低于73%；加强线上课程资源（平台）的引进和利用，做好课程网站等级保护测评。统筹建设专业核心课程教材和应用型系列教材，出版校本教材2部</w:t>
      </w:r>
      <w:r>
        <w:rPr>
          <w:rFonts w:hint="eastAsia" w:ascii="Times New Roman" w:hAnsi="Times New Roman" w:eastAsia="仿宋_GB2312" w:cs="Times New Roman"/>
          <w:b/>
          <w:bCs/>
          <w:color w:val="auto"/>
          <w:kern w:val="0"/>
          <w:sz w:val="32"/>
          <w:szCs w:val="32"/>
          <w:lang w:val="en-US" w:eastAsia="zh-CN"/>
        </w:rPr>
        <w:t>（教务处，各教学单位）</w:t>
      </w:r>
      <w:r>
        <w:rPr>
          <w:rFonts w:hint="eastAsia" w:ascii="Times New Roman" w:hAnsi="Times New Roman" w:eastAsia="仿宋_GB2312" w:cs="Times New Roman"/>
          <w:color w:val="auto"/>
          <w:kern w:val="0"/>
          <w:sz w:val="32"/>
          <w:szCs w:val="32"/>
          <w:lang w:val="en-US" w:eastAsia="zh-CN"/>
        </w:rPr>
        <w:t>。</w:t>
      </w:r>
    </w:p>
    <w:p w14:paraId="1904A38D">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强化教学模式改革和教学方式创新，选育12项左右校级教学成果奖，新增省级教研教改项目不少于7项、产教融合协同育人项目不少于25项，争取获批国家级教研教改项目，获批省级教学团队或优秀基层教学组织不少于1个</w:t>
      </w:r>
      <w:r>
        <w:rPr>
          <w:rFonts w:hint="eastAsia" w:ascii="Times New Roman" w:hAnsi="Times New Roman" w:eastAsia="仿宋_GB2312" w:cs="Times New Roman"/>
          <w:b/>
          <w:bCs/>
          <w:color w:val="auto"/>
          <w:kern w:val="0"/>
          <w:sz w:val="32"/>
          <w:szCs w:val="32"/>
          <w:lang w:val="en-US" w:eastAsia="zh-CN"/>
        </w:rPr>
        <w:t>（教务处，各教学单位）</w:t>
      </w:r>
      <w:r>
        <w:rPr>
          <w:rFonts w:hint="eastAsia" w:ascii="Times New Roman" w:hAnsi="Times New Roman" w:eastAsia="仿宋_GB2312" w:cs="Times New Roman"/>
          <w:color w:val="auto"/>
          <w:kern w:val="0"/>
          <w:sz w:val="32"/>
          <w:szCs w:val="32"/>
          <w:lang w:val="en-US" w:eastAsia="zh-CN"/>
        </w:rPr>
        <w:t>。</w:t>
      </w:r>
    </w:p>
    <w:p w14:paraId="3440FEE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完善</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教、学、用、创</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的</w:t>
      </w:r>
      <w:r>
        <w:rPr>
          <w:rFonts w:hint="eastAsia" w:ascii="Times New Roman" w:hAnsi="Times New Roman" w:eastAsia="仿宋_GB2312" w:cs="Times New Roman"/>
          <w:color w:val="auto"/>
          <w:kern w:val="0"/>
          <w:sz w:val="32"/>
          <w:szCs w:val="32"/>
        </w:rPr>
        <w:t>实践教学体系</w:t>
      </w:r>
      <w:r>
        <w:rPr>
          <w:rFonts w:hint="eastAsia" w:ascii="Times New Roman" w:hAnsi="Times New Roman" w:eastAsia="仿宋_GB2312" w:cs="Times New Roman"/>
          <w:color w:val="auto"/>
          <w:kern w:val="0"/>
          <w:sz w:val="32"/>
          <w:szCs w:val="32"/>
          <w:lang w:val="en-US" w:eastAsia="zh-CN"/>
        </w:rPr>
        <w:t>，推动优质实践课程资源开放共享</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提升</w:t>
      </w:r>
      <w:r>
        <w:rPr>
          <w:rFonts w:hint="eastAsia" w:ascii="Times New Roman" w:hAnsi="Times New Roman" w:eastAsia="仿宋_GB2312" w:cs="Times New Roman"/>
          <w:color w:val="auto"/>
          <w:kern w:val="0"/>
          <w:sz w:val="32"/>
          <w:szCs w:val="32"/>
        </w:rPr>
        <w:t>线上实习</w:t>
      </w:r>
      <w:r>
        <w:rPr>
          <w:rFonts w:hint="eastAsia" w:ascii="Times New Roman" w:hAnsi="Times New Roman" w:eastAsia="仿宋_GB2312" w:cs="Times New Roman"/>
          <w:color w:val="auto"/>
          <w:kern w:val="0"/>
          <w:sz w:val="32"/>
          <w:szCs w:val="32"/>
          <w:lang w:val="en-US" w:eastAsia="zh-CN"/>
        </w:rPr>
        <w:t>质量</w:t>
      </w:r>
      <w:r>
        <w:rPr>
          <w:rFonts w:hint="eastAsia" w:ascii="Times New Roman" w:hAnsi="Times New Roman" w:eastAsia="仿宋_GB2312" w:cs="Times New Roman"/>
          <w:color w:val="auto"/>
          <w:kern w:val="0"/>
          <w:sz w:val="32"/>
          <w:szCs w:val="32"/>
        </w:rPr>
        <w:t>。推进“岗课赛证”综合育人</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确保毕业生获得职业资格证书比例不低于75%。实施项目引导式实践教学改革，着力将行业企业资源转化为优质实践教学资源，每个专业有效建设3个以上校外实习实训基地，已建基地的使用率不低于50%，</w:t>
      </w:r>
      <w:r>
        <w:rPr>
          <w:rFonts w:hint="eastAsia" w:ascii="Times New Roman" w:hAnsi="Times New Roman" w:eastAsia="仿宋_GB2312" w:cs="Times New Roman"/>
          <w:color w:val="auto"/>
          <w:kern w:val="0"/>
          <w:sz w:val="32"/>
          <w:szCs w:val="32"/>
        </w:rPr>
        <w:t>力争新增</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个省级实践教学平台</w:t>
      </w:r>
      <w:r>
        <w:rPr>
          <w:rFonts w:hint="eastAsia" w:ascii="Times New Roman" w:hAnsi="Times New Roman" w:eastAsia="仿宋_GB2312" w:cs="Times New Roman"/>
          <w:b/>
          <w:bCs/>
          <w:color w:val="auto"/>
          <w:kern w:val="0"/>
          <w:sz w:val="32"/>
          <w:szCs w:val="32"/>
          <w:lang w:val="en-US" w:eastAsia="zh-CN"/>
        </w:rPr>
        <w:t>（教务处、实验室管理办公室、学生工作处，各教学单位）</w:t>
      </w:r>
      <w:r>
        <w:rPr>
          <w:rFonts w:hint="eastAsia" w:ascii="Times New Roman" w:hAnsi="Times New Roman" w:eastAsia="仿宋_GB2312" w:cs="Times New Roman"/>
          <w:color w:val="auto"/>
          <w:kern w:val="0"/>
          <w:sz w:val="32"/>
          <w:szCs w:val="32"/>
        </w:rPr>
        <w:t>。</w:t>
      </w:r>
    </w:p>
    <w:p w14:paraId="56583883">
      <w:pPr>
        <w:pStyle w:val="2"/>
        <w:keepNext w:val="0"/>
        <w:keepLines w:val="0"/>
        <w:pageBreakBefore w:val="0"/>
        <w:kinsoku/>
        <w:wordWrap/>
        <w:overflowPunct/>
        <w:topLinePunct w:val="0"/>
        <w:autoSpaceDE/>
        <w:autoSpaceDN/>
        <w:bidi w:val="0"/>
        <w:spacing w:after="0" w:line="588" w:lineRule="exact"/>
        <w:ind w:firstLine="640" w:firstLineChars="200"/>
        <w:jc w:val="both"/>
        <w:textAlignment w:val="auto"/>
        <w:rPr>
          <w:rFonts w:hint="eastAsia"/>
          <w:color w:val="auto"/>
          <w:sz w:val="32"/>
          <w:szCs w:val="32"/>
        </w:rPr>
      </w:pPr>
      <w:r>
        <w:rPr>
          <w:rFonts w:hint="eastAsia" w:ascii="Times New Roman" w:hAnsi="Times New Roman" w:eastAsia="仿宋_GB2312" w:cs="Times New Roman"/>
          <w:color w:val="auto"/>
          <w:kern w:val="0"/>
          <w:sz w:val="32"/>
          <w:szCs w:val="32"/>
          <w:lang w:val="en-US" w:eastAsia="zh-CN"/>
        </w:rPr>
        <w:t>完善学科专业竞赛体系，实施学科专业竞赛“五个一工程”，优化分级管理模式，打造以“互联网+”“挑战杯”等高水平赛事为龙头的科技文化活动体系，年内组织大学生参加A类学科竞赛获奖750项，B类学科竞赛获奖550项，省级以上课外文体竞赛获奖不少于900项，着力扩大参赛项目和参赛学生覆盖面，夯实创新创业与素质拓展学分管理</w:t>
      </w:r>
      <w:r>
        <w:rPr>
          <w:rFonts w:hint="eastAsia" w:ascii="Times New Roman" w:hAnsi="Times New Roman" w:eastAsia="仿宋_GB2312" w:cs="Times New Roman"/>
          <w:b/>
          <w:bCs/>
          <w:color w:val="auto"/>
          <w:kern w:val="0"/>
          <w:sz w:val="32"/>
          <w:szCs w:val="32"/>
          <w:lang w:val="en-US" w:eastAsia="zh-CN"/>
        </w:rPr>
        <w:t>（教务处，各教学单位、创新创业学院）</w:t>
      </w:r>
      <w:r>
        <w:rPr>
          <w:rFonts w:hint="eastAsia" w:ascii="Times New Roman" w:hAnsi="Times New Roman" w:eastAsia="仿宋_GB2312" w:cs="Times New Roman"/>
          <w:color w:val="auto"/>
          <w:kern w:val="0"/>
          <w:sz w:val="32"/>
          <w:szCs w:val="32"/>
          <w:lang w:val="en-US" w:eastAsia="zh-CN"/>
        </w:rPr>
        <w:t>。</w:t>
      </w:r>
    </w:p>
    <w:p w14:paraId="093C8E29">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color w:val="auto"/>
          <w:sz w:val="32"/>
          <w:szCs w:val="32"/>
        </w:rPr>
      </w:pPr>
      <w:r>
        <w:rPr>
          <w:rFonts w:hint="eastAsia" w:ascii="Times New Roman" w:hAnsi="Times New Roman" w:eastAsia="仿宋_GB2312" w:cs="Times New Roman"/>
          <w:color w:val="auto"/>
          <w:kern w:val="0"/>
          <w:sz w:val="32"/>
          <w:szCs w:val="32"/>
          <w:lang w:val="en-US" w:eastAsia="zh-CN"/>
        </w:rPr>
        <w:t>持续优化创新创业教育工作体系，夯实学校省级创新创业学院工作基础，争创国家级大学生创新创业示范高校</w:t>
      </w:r>
      <w:r>
        <w:rPr>
          <w:rFonts w:hint="eastAsia" w:ascii="Times New Roman" w:hAnsi="Times New Roman" w:eastAsia="仿宋_GB2312" w:cs="Times New Roman"/>
          <w:b/>
          <w:bCs/>
          <w:color w:val="auto"/>
          <w:kern w:val="0"/>
          <w:sz w:val="32"/>
          <w:szCs w:val="32"/>
          <w:lang w:val="en-US" w:eastAsia="zh-CN"/>
        </w:rPr>
        <w:t>（创新创业学院）</w:t>
      </w:r>
      <w:r>
        <w:rPr>
          <w:rFonts w:hint="eastAsia" w:ascii="Times New Roman" w:hAnsi="Times New Roman" w:eastAsia="仿宋_GB2312" w:cs="Times New Roman"/>
          <w:color w:val="auto"/>
          <w:kern w:val="0"/>
          <w:sz w:val="32"/>
          <w:szCs w:val="32"/>
          <w:lang w:val="en-US" w:eastAsia="zh-CN"/>
        </w:rPr>
        <w:t>。举办多彩多样的校园创业活动，扶持大学生创新工艺社等专业社团发展壮大，组织学生参与创新创业训练计划，学生获省级及以上创新创业训练计划项目不少于58项，其中国家级16项</w:t>
      </w:r>
      <w:r>
        <w:rPr>
          <w:rFonts w:hint="eastAsia" w:ascii="Times New Roman" w:hAnsi="Times New Roman" w:eastAsia="仿宋_GB2312" w:cs="Times New Roman"/>
          <w:b/>
          <w:bCs/>
          <w:color w:val="auto"/>
          <w:kern w:val="0"/>
          <w:sz w:val="32"/>
          <w:szCs w:val="32"/>
          <w:lang w:val="en-US" w:eastAsia="zh-CN"/>
        </w:rPr>
        <w:t>（学生工作处、教务处，各学院）</w:t>
      </w:r>
      <w:r>
        <w:rPr>
          <w:rFonts w:hint="eastAsia" w:ascii="Times New Roman" w:hAnsi="Times New Roman" w:eastAsia="仿宋_GB2312" w:cs="Times New Roman"/>
          <w:color w:val="auto"/>
          <w:kern w:val="0"/>
          <w:sz w:val="32"/>
          <w:szCs w:val="32"/>
          <w:lang w:val="en-US" w:eastAsia="zh-CN"/>
        </w:rPr>
        <w:t>。</w:t>
      </w:r>
    </w:p>
    <w:p w14:paraId="48C3BAFE">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完善“四共”校企合作</w:t>
      </w:r>
      <w:r>
        <w:rPr>
          <w:rFonts w:hint="eastAsia" w:ascii="Times New Roman" w:hAnsi="Times New Roman" w:eastAsia="仿宋_GB2312" w:cs="Times New Roman"/>
          <w:b w:val="0"/>
          <w:bCs w:val="0"/>
          <w:color w:val="auto"/>
          <w:kern w:val="0"/>
          <w:sz w:val="32"/>
          <w:szCs w:val="32"/>
          <w:lang w:val="en-US" w:eastAsia="zh-CN"/>
        </w:rPr>
        <w:t>协同育人</w:t>
      </w:r>
      <w:r>
        <w:rPr>
          <w:rFonts w:hint="eastAsia" w:ascii="Times New Roman" w:hAnsi="Times New Roman" w:eastAsia="仿宋_GB2312" w:cs="Times New Roman"/>
          <w:color w:val="auto"/>
          <w:kern w:val="0"/>
          <w:sz w:val="32"/>
          <w:szCs w:val="32"/>
          <w:lang w:val="en-US" w:eastAsia="zh-CN"/>
        </w:rPr>
        <w:t>机制，稳步推进《高水平应用型大学建设三年行动计划实施方案（2023-2025年）》各项建设目标和工作任务落实，开展合作项目专项检查，新建1—2家现代产业学院或产教联盟。对接我省区域发展战略，以产业急需为牵引，编制学校《本科专业与“51020”现代产业集群对接明细表》</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高质量建设并开出虚拟仿真与创新性开放实验项目，</w:t>
      </w:r>
      <w:r>
        <w:rPr>
          <w:rFonts w:hint="eastAsia" w:ascii="Times New Roman" w:hAnsi="Times New Roman" w:eastAsia="仿宋_GB2312" w:cs="Times New Roman"/>
          <w:color w:val="auto"/>
          <w:kern w:val="0"/>
          <w:sz w:val="32"/>
          <w:szCs w:val="32"/>
        </w:rPr>
        <w:t>提高校企共同指导本科生毕业论文（设计）的比例</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教务处，各学院</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w:t>
      </w:r>
    </w:p>
    <w:p w14:paraId="73F5285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bidi="ar-SA"/>
        </w:rPr>
        <w:t>8.加强学科建设</w:t>
      </w:r>
    </w:p>
    <w:p w14:paraId="514ABB4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进一步实施师资（团队）、项目、条件一体化建设，</w:t>
      </w:r>
      <w:r>
        <w:rPr>
          <w:rFonts w:hint="eastAsia" w:ascii="Times New Roman" w:hAnsi="Times New Roman" w:eastAsia="仿宋_GB2312" w:cs="Times New Roman"/>
          <w:color w:val="auto"/>
          <w:kern w:val="0"/>
          <w:sz w:val="32"/>
          <w:szCs w:val="32"/>
        </w:rPr>
        <w:t>探索构建</w:t>
      </w:r>
      <w:bookmarkStart w:id="3" w:name="_Hlk91256434"/>
      <w:r>
        <w:rPr>
          <w:rFonts w:hint="eastAsia" w:ascii="Times New Roman" w:hAnsi="Times New Roman" w:eastAsia="仿宋_GB2312" w:cs="Times New Roman"/>
          <w:color w:val="auto"/>
          <w:kern w:val="0"/>
          <w:sz w:val="32"/>
          <w:szCs w:val="32"/>
        </w:rPr>
        <w:t>省级优势特色学科（群）</w:t>
      </w:r>
      <w:bookmarkEnd w:id="3"/>
      <w:r>
        <w:rPr>
          <w:rFonts w:hint="eastAsia" w:ascii="Times New Roman" w:hAnsi="Times New Roman" w:eastAsia="仿宋_GB2312" w:cs="Times New Roman"/>
          <w:color w:val="auto"/>
          <w:kern w:val="0"/>
          <w:sz w:val="32"/>
          <w:szCs w:val="32"/>
        </w:rPr>
        <w:t>、校级重点学科两级学科分层建设体系。</w:t>
      </w:r>
      <w:r>
        <w:rPr>
          <w:rFonts w:hint="eastAsia" w:ascii="Times New Roman" w:hAnsi="Times New Roman" w:eastAsia="仿宋_GB2312" w:cs="Times New Roman"/>
          <w:color w:val="auto"/>
          <w:kern w:val="0"/>
          <w:sz w:val="32"/>
          <w:szCs w:val="32"/>
          <w:lang w:val="en-US" w:eastAsia="zh-CN"/>
        </w:rPr>
        <w:t>开展新增硕士学位授予单位申请工作，</w:t>
      </w:r>
      <w:r>
        <w:rPr>
          <w:rFonts w:hint="eastAsia" w:ascii="Times New Roman" w:hAnsi="Times New Roman" w:eastAsia="仿宋_GB2312" w:cs="Times New Roman"/>
          <w:color w:val="auto"/>
          <w:kern w:val="0"/>
          <w:sz w:val="32"/>
          <w:szCs w:val="32"/>
        </w:rPr>
        <w:t>选育电子信息、数字经济</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新闻与传播</w:t>
      </w:r>
      <w:r>
        <w:rPr>
          <w:rFonts w:hint="eastAsia" w:ascii="Times New Roman" w:hAnsi="Times New Roman" w:eastAsia="仿宋_GB2312" w:cs="Times New Roman"/>
          <w:color w:val="auto"/>
          <w:kern w:val="0"/>
          <w:sz w:val="32"/>
          <w:szCs w:val="32"/>
          <w:lang w:val="en-US" w:eastAsia="zh-CN"/>
        </w:rPr>
        <w:t>等</w:t>
      </w:r>
      <w:r>
        <w:rPr>
          <w:rFonts w:hint="eastAsia" w:ascii="Times New Roman" w:hAnsi="Times New Roman" w:eastAsia="仿宋_GB2312" w:cs="Times New Roman"/>
          <w:color w:val="auto"/>
          <w:kern w:val="0"/>
          <w:sz w:val="32"/>
          <w:szCs w:val="32"/>
        </w:rPr>
        <w:t>三个</w:t>
      </w:r>
      <w:r>
        <w:rPr>
          <w:rFonts w:hint="eastAsia" w:ascii="Times New Roman" w:hAnsi="Times New Roman" w:eastAsia="仿宋_GB2312" w:cs="Times New Roman"/>
          <w:color w:val="auto"/>
          <w:kern w:val="0"/>
          <w:sz w:val="32"/>
          <w:szCs w:val="32"/>
          <w:lang w:val="en-US" w:eastAsia="zh-CN"/>
        </w:rPr>
        <w:t>专业</w:t>
      </w:r>
      <w:r>
        <w:rPr>
          <w:rFonts w:hint="eastAsia" w:ascii="Times New Roman" w:hAnsi="Times New Roman" w:eastAsia="仿宋_GB2312" w:cs="Times New Roman"/>
          <w:color w:val="auto"/>
          <w:kern w:val="0"/>
          <w:sz w:val="32"/>
          <w:szCs w:val="32"/>
        </w:rPr>
        <w:t>硕士学位授权点，凝练学科方向、</w:t>
      </w:r>
      <w:r>
        <w:rPr>
          <w:rFonts w:hint="eastAsia" w:ascii="Times New Roman" w:hAnsi="Times New Roman" w:eastAsia="仿宋_GB2312" w:cs="Times New Roman"/>
          <w:color w:val="auto"/>
          <w:kern w:val="0"/>
          <w:sz w:val="32"/>
          <w:szCs w:val="32"/>
          <w:lang w:val="en-US" w:eastAsia="zh-CN"/>
        </w:rPr>
        <w:t>优化</w:t>
      </w:r>
      <w:r>
        <w:rPr>
          <w:rFonts w:hint="eastAsia" w:ascii="Times New Roman" w:hAnsi="Times New Roman" w:eastAsia="仿宋_GB2312" w:cs="Times New Roman"/>
          <w:color w:val="auto"/>
          <w:kern w:val="0"/>
          <w:sz w:val="32"/>
          <w:szCs w:val="32"/>
        </w:rPr>
        <w:t>学科平台、创新体制机制，</w:t>
      </w:r>
      <w:r>
        <w:rPr>
          <w:rFonts w:hint="eastAsia" w:ascii="Times New Roman" w:hAnsi="Times New Roman" w:eastAsia="仿宋_GB2312" w:cs="Times New Roman"/>
          <w:color w:val="auto"/>
          <w:kern w:val="0"/>
          <w:sz w:val="32"/>
          <w:szCs w:val="32"/>
          <w:lang w:val="en-US" w:eastAsia="zh-CN"/>
        </w:rPr>
        <w:t>开展对标建设，</w:t>
      </w:r>
      <w:r>
        <w:rPr>
          <w:rFonts w:hint="eastAsia" w:ascii="Times New Roman" w:hAnsi="Times New Roman" w:eastAsia="仿宋_GB2312" w:cs="Times New Roman"/>
          <w:color w:val="auto"/>
          <w:kern w:val="0"/>
          <w:sz w:val="32"/>
          <w:szCs w:val="32"/>
        </w:rPr>
        <w:t>探索学校、产业、科技创新协同发展、深度融合的学科体系</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科研处，相关学院</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；建设培育</w:t>
      </w:r>
      <w:r>
        <w:rPr>
          <w:rFonts w:hint="eastAsia" w:ascii="Times New Roman" w:hAnsi="Times New Roman" w:eastAsia="仿宋_GB2312" w:cs="Times New Roman"/>
          <w:color w:val="auto"/>
          <w:kern w:val="0"/>
          <w:sz w:val="32"/>
          <w:szCs w:val="32"/>
          <w:lang w:val="en-US" w:eastAsia="zh-CN" w:bidi="ar-SA"/>
        </w:rPr>
        <w:t>工程学学科，促进学校工程学学科尽快跻身ESI全球前1%</w:t>
      </w:r>
      <w:r>
        <w:rPr>
          <w:rFonts w:hint="eastAsia" w:ascii="Times New Roman" w:hAnsi="Times New Roman" w:eastAsia="仿宋_GB2312" w:cs="Times New Roman"/>
          <w:b/>
          <w:bCs/>
          <w:color w:val="auto"/>
          <w:kern w:val="0"/>
          <w:sz w:val="32"/>
          <w:szCs w:val="32"/>
          <w:lang w:val="en-US" w:eastAsia="zh-CN" w:bidi="ar-SA"/>
        </w:rPr>
        <w:t>（机电工程学院、电子信息工程学院、计算机科学学院、基础课部）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引导各学院初步确立“一院一特色”学科方向，组建相对稳定的院级学科团队和平台</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科研处，各学院</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。发挥农业电子商务湖北省协同创新中心在科学研究、人才培养中的引领作用，带动学校相关学科专业发展</w:t>
      </w:r>
      <w:r>
        <w:rPr>
          <w:rFonts w:hint="eastAsia" w:ascii="Times New Roman" w:hAnsi="Times New Roman" w:eastAsia="仿宋_GB2312" w:cs="Times New Roman"/>
          <w:b/>
          <w:bCs/>
          <w:color w:val="auto"/>
          <w:kern w:val="0"/>
          <w:sz w:val="32"/>
          <w:szCs w:val="32"/>
          <w:lang w:val="en-US" w:eastAsia="zh-CN" w:bidi="ar-SA"/>
        </w:rPr>
        <w:t>（科研处、管理学院）</w:t>
      </w:r>
      <w:r>
        <w:rPr>
          <w:rFonts w:hint="eastAsia"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rPr>
        <w:t>进一步</w:t>
      </w:r>
      <w:r>
        <w:rPr>
          <w:rFonts w:hint="eastAsia" w:ascii="Times New Roman" w:hAnsi="Times New Roman" w:eastAsia="仿宋_GB2312" w:cs="Times New Roman"/>
          <w:color w:val="auto"/>
          <w:kern w:val="0"/>
          <w:sz w:val="32"/>
          <w:szCs w:val="32"/>
        </w:rPr>
        <w:t>做好联合培养研究生工作，加大学校导师参与度，</w:t>
      </w:r>
      <w:r>
        <w:rPr>
          <w:rFonts w:hint="eastAsia" w:ascii="Times New Roman" w:hAnsi="Times New Roman" w:eastAsia="仿宋_GB2312" w:cs="Times New Roman"/>
          <w:color w:val="auto"/>
          <w:kern w:val="0"/>
          <w:sz w:val="32"/>
          <w:szCs w:val="32"/>
          <w:lang w:val="en-US" w:eastAsia="zh-CN"/>
        </w:rPr>
        <w:t>力争参与</w:t>
      </w:r>
      <w:r>
        <w:rPr>
          <w:rFonts w:hint="eastAsia" w:ascii="Times New Roman" w:hAnsi="Times New Roman" w:eastAsia="仿宋_GB2312" w:cs="Times New Roman"/>
          <w:color w:val="auto"/>
          <w:kern w:val="0"/>
          <w:sz w:val="32"/>
          <w:szCs w:val="32"/>
        </w:rPr>
        <w:t>联合培养研究生</w:t>
      </w:r>
      <w:r>
        <w:rPr>
          <w:rFonts w:hint="eastAsia" w:ascii="Times New Roman" w:hAnsi="Times New Roman" w:eastAsia="仿宋_GB2312" w:cs="Times New Roman"/>
          <w:color w:val="auto"/>
          <w:kern w:val="0"/>
          <w:sz w:val="32"/>
          <w:szCs w:val="32"/>
          <w:lang w:val="en-US" w:eastAsia="zh-CN"/>
        </w:rPr>
        <w:t>导师人数不少于15人，</w:t>
      </w:r>
      <w:r>
        <w:rPr>
          <w:rFonts w:hint="eastAsia" w:ascii="Times New Roman" w:hAnsi="Times New Roman" w:eastAsia="仿宋_GB2312" w:cs="Times New Roman"/>
          <w:color w:val="auto"/>
          <w:kern w:val="0"/>
          <w:sz w:val="32"/>
          <w:szCs w:val="32"/>
        </w:rPr>
        <w:t>提升联合培养研究生质量</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科研处，各学院</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rPr>
        <w:t>。</w:t>
      </w:r>
    </w:p>
    <w:p w14:paraId="5B6B21B5">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9.加大科研成果产出</w:t>
      </w:r>
    </w:p>
    <w:p w14:paraId="416E0C6D">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充分挖掘资源，落实《2024年纵向科研项目任务分配与考核方案》《武汉东湖学院科研型外聘教授管理办法》。加强项目前期培育工作，加大对有申报省级科技成果奖潜力科技项目的支持、指导和服务力度，确保“到人、到事、到时”。年内新增国家级科研项目11项、省级科研项目65项，获批省部级科研成果奖3项，教师发表高水平学术论文数量增长10%。出台横向项目科研支持引导政策，提高产学研用合作水平，教师获授专利110件以上，其中发明专利不少于8件，成果转化或应用项目数不少于35项；学生公开发表论文或作品不少于本科应届毕业生人数的10%，获授专利（含软件著作权）不少于85件</w:t>
      </w:r>
      <w:r>
        <w:rPr>
          <w:rFonts w:hint="eastAsia" w:ascii="Times New Roman" w:hAnsi="Times New Roman" w:eastAsia="仿宋_GB2312" w:cs="Times New Roman"/>
          <w:b/>
          <w:bCs/>
          <w:color w:val="auto"/>
          <w:kern w:val="0"/>
          <w:sz w:val="32"/>
          <w:szCs w:val="32"/>
          <w:lang w:val="en-US" w:eastAsia="zh-CN" w:bidi="ar-SA"/>
        </w:rPr>
        <w:t>（科研处，各学院）</w:t>
      </w:r>
      <w:r>
        <w:rPr>
          <w:rFonts w:hint="eastAsia" w:ascii="Times New Roman" w:hAnsi="Times New Roman" w:eastAsia="仿宋_GB2312" w:cs="Times New Roman"/>
          <w:color w:val="auto"/>
          <w:kern w:val="0"/>
          <w:sz w:val="32"/>
          <w:szCs w:val="32"/>
          <w:lang w:val="en-US" w:eastAsia="zh-CN" w:bidi="ar-SA"/>
        </w:rPr>
        <w:t>。</w:t>
      </w:r>
    </w:p>
    <w:p w14:paraId="304CE7BF">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default"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10.加强国际交流</w:t>
      </w:r>
    </w:p>
    <w:p w14:paraId="3D160713">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拓展中外合作办学项目，覆盖学校主干学科和重点发展学科，重点开拓人工智能、软件工程、大数据、物联网等本科专业中外合作，力争再获批1—2个项目</w:t>
      </w:r>
      <w:r>
        <w:rPr>
          <w:rFonts w:hint="eastAsia" w:ascii="Times New Roman" w:hAnsi="Times New Roman" w:eastAsia="仿宋_GB2312" w:cs="Times New Roman"/>
          <w:b/>
          <w:bCs/>
          <w:color w:val="auto"/>
          <w:kern w:val="0"/>
          <w:sz w:val="32"/>
          <w:szCs w:val="32"/>
          <w:lang w:val="en-US" w:eastAsia="zh-CN" w:bidi="ar-SA"/>
        </w:rPr>
        <w:t>（国际交流与合作处）</w:t>
      </w:r>
      <w:r>
        <w:rPr>
          <w:rFonts w:hint="eastAsia" w:ascii="Times New Roman" w:hAnsi="Times New Roman" w:eastAsia="仿宋_GB2312" w:cs="Times New Roman"/>
          <w:color w:val="auto"/>
          <w:kern w:val="0"/>
          <w:sz w:val="32"/>
          <w:szCs w:val="32"/>
          <w:lang w:val="en-US" w:eastAsia="zh-CN" w:bidi="ar-SA"/>
        </w:rPr>
        <w:t>。推进学生校际交流</w:t>
      </w:r>
      <w:r>
        <w:rPr>
          <w:rFonts w:hint="eastAsia" w:ascii="Times New Roman" w:hAnsi="Times New Roman" w:eastAsia="仿宋_GB2312" w:cs="Times New Roman"/>
          <w:color w:val="auto"/>
          <w:kern w:val="0"/>
          <w:sz w:val="32"/>
          <w:szCs w:val="32"/>
          <w:highlight w:val="none"/>
          <w:lang w:val="en-US" w:eastAsia="zh-CN" w:bidi="ar-SA"/>
        </w:rPr>
        <w:t>和在地国际交流项目，</w:t>
      </w:r>
      <w:r>
        <w:rPr>
          <w:rFonts w:hint="eastAsia" w:ascii="Times New Roman" w:hAnsi="Times New Roman" w:eastAsia="仿宋_GB2312" w:cs="Times New Roman"/>
          <w:color w:val="auto"/>
          <w:kern w:val="0"/>
          <w:sz w:val="32"/>
          <w:szCs w:val="32"/>
          <w:lang w:val="en-US" w:eastAsia="zh-CN" w:bidi="ar-SA"/>
        </w:rPr>
        <w:t>拓展交换生海外留学项目。确保年度内学生赴海外交流学习数量不低于2023年</w:t>
      </w:r>
      <w:r>
        <w:rPr>
          <w:rFonts w:hint="eastAsia" w:ascii="Times New Roman" w:hAnsi="Times New Roman" w:eastAsia="仿宋_GB2312" w:cs="Times New Roman"/>
          <w:b/>
          <w:bCs/>
          <w:color w:val="auto"/>
          <w:kern w:val="0"/>
          <w:sz w:val="32"/>
          <w:szCs w:val="32"/>
          <w:lang w:val="en-US" w:eastAsia="zh-CN" w:bidi="ar-SA"/>
        </w:rPr>
        <w:t>（国际交流与合作处、教务处）</w:t>
      </w:r>
      <w:r>
        <w:rPr>
          <w:rFonts w:hint="eastAsia" w:ascii="Times New Roman" w:hAnsi="Times New Roman" w:eastAsia="仿宋_GB2312" w:cs="Times New Roman"/>
          <w:color w:val="auto"/>
          <w:kern w:val="0"/>
          <w:sz w:val="32"/>
          <w:szCs w:val="32"/>
          <w:lang w:val="en-US" w:eastAsia="zh-CN" w:bidi="ar-SA"/>
        </w:rPr>
        <w:t>。选派20名左右教师到国内外高校、研究机构访学，选派40名以上教师到国内外攻读博士学位</w:t>
      </w:r>
      <w:r>
        <w:rPr>
          <w:rFonts w:hint="eastAsia" w:ascii="Times New Roman" w:hAnsi="Times New Roman" w:eastAsia="仿宋_GB2312" w:cs="Times New Roman"/>
          <w:b/>
          <w:bCs/>
          <w:color w:val="auto"/>
          <w:kern w:val="0"/>
          <w:sz w:val="32"/>
          <w:szCs w:val="32"/>
          <w:lang w:val="en-US" w:eastAsia="zh-CN" w:bidi="ar-SA"/>
        </w:rPr>
        <w:t>（国际交流与合作处、组织人事处）</w:t>
      </w:r>
      <w:r>
        <w:rPr>
          <w:rFonts w:hint="eastAsia" w:ascii="Times New Roman" w:hAnsi="Times New Roman" w:eastAsia="仿宋_GB2312" w:cs="Times New Roman"/>
          <w:color w:val="auto"/>
          <w:kern w:val="0"/>
          <w:sz w:val="32"/>
          <w:szCs w:val="32"/>
          <w:lang w:val="en-US" w:eastAsia="zh-CN" w:bidi="ar-SA"/>
        </w:rPr>
        <w:t>。加强与港澳地区、“一带一路”沿线国家高校的合作，围绕我校亟需的前沿、薄弱学科，引进国外优质课程资源，建立</w:t>
      </w:r>
      <w:r>
        <w:rPr>
          <w:rFonts w:hint="eastAsia" w:ascii="Times New Roman" w:hAnsi="Times New Roman" w:eastAsia="仿宋_GB2312" w:cs="Times New Roman"/>
          <w:color w:val="auto"/>
          <w:kern w:val="0"/>
          <w:sz w:val="32"/>
          <w:szCs w:val="32"/>
          <w:highlight w:val="none"/>
          <w:lang w:val="en-US" w:eastAsia="zh-CN" w:bidi="ar-SA"/>
        </w:rPr>
        <w:t>健全教育对外合作，开放各项规章制度，</w:t>
      </w:r>
      <w:r>
        <w:rPr>
          <w:rFonts w:hint="eastAsia" w:ascii="Times New Roman" w:hAnsi="Times New Roman" w:eastAsia="仿宋_GB2312" w:cs="Times New Roman"/>
          <w:color w:val="auto"/>
          <w:kern w:val="0"/>
          <w:sz w:val="32"/>
          <w:szCs w:val="32"/>
          <w:lang w:val="en-US" w:eastAsia="zh-CN" w:bidi="ar-SA"/>
        </w:rPr>
        <w:t>强化规范管理</w:t>
      </w:r>
      <w:r>
        <w:rPr>
          <w:rFonts w:hint="eastAsia" w:ascii="Times New Roman" w:hAnsi="Times New Roman" w:eastAsia="仿宋_GB2312" w:cs="Times New Roman"/>
          <w:b/>
          <w:bCs/>
          <w:color w:val="auto"/>
          <w:kern w:val="0"/>
          <w:sz w:val="32"/>
          <w:szCs w:val="32"/>
          <w:lang w:val="en-US" w:eastAsia="zh-CN" w:bidi="ar-SA"/>
        </w:rPr>
        <w:t>（国际交流与合作处）</w:t>
      </w:r>
      <w:r>
        <w:rPr>
          <w:rFonts w:hint="eastAsia" w:ascii="Times New Roman" w:hAnsi="Times New Roman" w:eastAsia="仿宋_GB2312" w:cs="Times New Roman"/>
          <w:color w:val="auto"/>
          <w:kern w:val="0"/>
          <w:sz w:val="32"/>
          <w:szCs w:val="32"/>
          <w:lang w:val="en-US" w:eastAsia="zh-CN" w:bidi="ar-SA"/>
        </w:rPr>
        <w:t>。</w:t>
      </w:r>
    </w:p>
    <w:p w14:paraId="278B6632">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11.狠抓教风学风建设</w:t>
      </w:r>
    </w:p>
    <w:p w14:paraId="349DA920">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楷体_GB2312" w:hAnsi="Times New Roman" w:eastAsia="仿宋_GB2312" w:cs="Times New Roman"/>
          <w:b/>
          <w:color w:val="auto"/>
          <w:kern w:val="0"/>
          <w:sz w:val="32"/>
          <w:szCs w:val="32"/>
          <w:lang w:val="en-US" w:eastAsia="zh-CN" w:bidi="ar-SA"/>
        </w:rPr>
      </w:pPr>
      <w:r>
        <w:rPr>
          <w:rFonts w:hint="eastAsia" w:ascii="Times New Roman" w:hAnsi="Times New Roman" w:eastAsia="仿宋_GB2312" w:cs="Times New Roman"/>
          <w:color w:val="auto"/>
          <w:kern w:val="0"/>
          <w:sz w:val="32"/>
          <w:szCs w:val="32"/>
        </w:rPr>
        <w:t>以考研率、大学英语四级通过率、职业资格证书获得率、</w:t>
      </w:r>
      <w:r>
        <w:rPr>
          <w:rFonts w:hint="eastAsia" w:ascii="Times New Roman" w:hAnsi="Times New Roman" w:eastAsia="仿宋_GB2312" w:cs="Times New Roman"/>
          <w:color w:val="auto"/>
          <w:kern w:val="0"/>
          <w:sz w:val="32"/>
          <w:szCs w:val="32"/>
          <w:lang w:val="en-US" w:eastAsia="zh-CN"/>
        </w:rPr>
        <w:t>学生课外科技活动参与</w:t>
      </w:r>
      <w:r>
        <w:rPr>
          <w:rFonts w:hint="eastAsia" w:ascii="Times New Roman" w:hAnsi="Times New Roman" w:eastAsia="仿宋_GB2312" w:cs="Times New Roman"/>
          <w:color w:val="auto"/>
          <w:kern w:val="0"/>
          <w:sz w:val="32"/>
          <w:szCs w:val="32"/>
        </w:rPr>
        <w:t>率</w:t>
      </w:r>
      <w:r>
        <w:rPr>
          <w:rFonts w:hint="eastAsia" w:ascii="Times New Roman" w:hAnsi="Times New Roman" w:eastAsia="仿宋_GB2312" w:cs="Times New Roman"/>
          <w:b w:val="0"/>
          <w:bCs w:val="0"/>
          <w:color w:val="auto"/>
          <w:kern w:val="0"/>
          <w:sz w:val="32"/>
          <w:szCs w:val="32"/>
        </w:rPr>
        <w:t>“四率”</w:t>
      </w:r>
      <w:r>
        <w:rPr>
          <w:rFonts w:hint="eastAsia" w:ascii="Times New Roman" w:hAnsi="Times New Roman" w:eastAsia="仿宋_GB2312" w:cs="Times New Roman"/>
          <w:color w:val="auto"/>
          <w:kern w:val="0"/>
          <w:sz w:val="32"/>
          <w:szCs w:val="32"/>
        </w:rPr>
        <w:t>为突破口</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激发学生学习内驱力</w:t>
      </w:r>
      <w:r>
        <w:rPr>
          <w:rFonts w:hint="eastAsia" w:ascii="仿宋_GB2312" w:hAnsi="仿宋_GB2312" w:eastAsia="仿宋_GB2312" w:cs="仿宋_GB2312"/>
          <w:b w:val="0"/>
          <w:bCs w:val="0"/>
          <w:color w:val="auto"/>
          <w:kern w:val="2"/>
          <w:sz w:val="32"/>
          <w:szCs w:val="32"/>
          <w:highlight w:val="none"/>
          <w:lang w:val="en-US" w:eastAsia="zh-CN" w:bidi="ar-SA"/>
        </w:rPr>
        <w:t>，举办“学风建设月”系列活动，</w:t>
      </w:r>
      <w:r>
        <w:rPr>
          <w:rFonts w:hint="eastAsia" w:ascii="仿宋_GB2312" w:hAnsi="仿宋_GB2312" w:eastAsia="仿宋_GB2312" w:cs="仿宋_GB2312"/>
          <w:bCs/>
          <w:color w:val="auto"/>
          <w:sz w:val="32"/>
          <w:szCs w:val="32"/>
          <w:highlight w:val="none"/>
          <w:lang w:val="en-US" w:eastAsia="zh-CN"/>
        </w:rPr>
        <w:t>建设“乐学、勤学、会学”的学风</w:t>
      </w:r>
      <w:r>
        <w:rPr>
          <w:rFonts w:hint="eastAsia" w:ascii="仿宋_GB2312" w:hAnsi="仿宋_GB2312" w:eastAsia="仿宋_GB2312" w:cs="仿宋_GB2312"/>
          <w:b/>
          <w:bCs w:val="0"/>
          <w:color w:val="auto"/>
          <w:sz w:val="32"/>
          <w:szCs w:val="32"/>
          <w:highlight w:val="none"/>
          <w:lang w:val="en-US" w:eastAsia="zh-CN"/>
        </w:rPr>
        <w:t>（学生工作处、教务处、教育教学监测与评估中心）</w:t>
      </w:r>
      <w:r>
        <w:rPr>
          <w:rFonts w:hint="eastAsia"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bCs/>
          <w:color w:val="auto"/>
          <w:sz w:val="32"/>
          <w:szCs w:val="32"/>
          <w:highlight w:val="none"/>
          <w:lang w:val="en-US" w:eastAsia="zh-CN"/>
        </w:rPr>
        <w:t>加强课堂点名考勤制度和平时成绩的真实性督查，提高课堂到课率、抬头率和前排就座率</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Cs/>
          <w:color w:val="auto"/>
          <w:sz w:val="32"/>
          <w:szCs w:val="32"/>
          <w:highlight w:val="none"/>
          <w:lang w:val="en-US" w:eastAsia="zh-CN"/>
        </w:rPr>
        <w:t>全年课堂到课率不低于96%（专科不低于92%），晨</w:t>
      </w:r>
      <w:r>
        <w:rPr>
          <w:rFonts w:hint="eastAsia" w:ascii="仿宋_GB2312" w:hAnsi="仿宋_GB2312" w:eastAsia="仿宋_GB2312" w:cs="仿宋_GB2312"/>
          <w:b w:val="0"/>
          <w:bCs w:val="0"/>
          <w:color w:val="auto"/>
          <w:kern w:val="2"/>
          <w:sz w:val="32"/>
          <w:szCs w:val="32"/>
          <w:highlight w:val="none"/>
          <w:lang w:val="en-US" w:eastAsia="zh-CN" w:bidi="ar-SA"/>
        </w:rPr>
        <w:t>读晨练和晚自习出勤率不低于72%</w:t>
      </w:r>
      <w:r>
        <w:rPr>
          <w:rFonts w:hint="eastAsia" w:ascii="仿宋_GB2312" w:hAnsi="仿宋_GB2312" w:eastAsia="仿宋_GB2312" w:cs="仿宋_GB2312"/>
          <w:b/>
          <w:bCs w:val="0"/>
          <w:color w:val="auto"/>
          <w:sz w:val="32"/>
          <w:szCs w:val="32"/>
          <w:highlight w:val="none"/>
          <w:lang w:val="en-US" w:eastAsia="zh-CN"/>
        </w:rPr>
        <w:t>（教育教学监测与评估中心、教务处、学生工作处）</w:t>
      </w:r>
      <w:r>
        <w:rPr>
          <w:rFonts w:hint="eastAsia" w:ascii="Times New Roman" w:hAnsi="Times New Roman" w:eastAsia="仿宋_GB2312" w:cs="Times New Roman"/>
          <w:color w:val="auto"/>
          <w:kern w:val="0"/>
          <w:sz w:val="32"/>
          <w:szCs w:val="32"/>
          <w:lang w:val="en-US" w:eastAsia="zh-CN" w:bidi="ar-SA"/>
        </w:rPr>
        <w:t>。严格学业标准，完善学士学位论文（毕业设计）抽检工作</w:t>
      </w:r>
      <w:r>
        <w:rPr>
          <w:rFonts w:hint="eastAsia" w:ascii="仿宋_GB2312" w:hAnsi="仿宋_GB2312" w:eastAsia="仿宋_GB2312" w:cs="仿宋_GB2312"/>
          <w:b w:val="0"/>
          <w:bCs w:val="0"/>
          <w:color w:val="auto"/>
          <w:kern w:val="2"/>
          <w:sz w:val="32"/>
          <w:szCs w:val="32"/>
          <w:highlight w:val="none"/>
          <w:lang w:val="en-US" w:eastAsia="zh-CN" w:bidi="ar-SA"/>
        </w:rPr>
        <w:t>，严格课程考核、学分认定管理、学籍预警和留级制度</w:t>
      </w:r>
      <w:r>
        <w:rPr>
          <w:rFonts w:hint="eastAsia" w:ascii="仿宋_GB2312" w:hAnsi="仿宋_GB2312" w:eastAsia="仿宋_GB2312" w:cs="仿宋_GB2312"/>
          <w:b/>
          <w:bCs w:val="0"/>
          <w:color w:val="auto"/>
          <w:sz w:val="32"/>
          <w:szCs w:val="32"/>
          <w:highlight w:val="none"/>
          <w:lang w:val="en-US" w:eastAsia="zh-CN"/>
        </w:rPr>
        <w:t>（教务处、</w:t>
      </w:r>
      <w:r>
        <w:rPr>
          <w:rFonts w:hint="eastAsia" w:ascii="Times New Roman" w:hAnsi="Times New Roman" w:eastAsia="仿宋_GB2312" w:cs="Times New Roman"/>
          <w:b/>
          <w:bCs/>
          <w:color w:val="auto"/>
          <w:kern w:val="0"/>
          <w:sz w:val="32"/>
          <w:szCs w:val="32"/>
          <w:lang w:val="en-US" w:eastAsia="zh-CN" w:bidi="ar-SA"/>
        </w:rPr>
        <w:t>教育教学监测与评估中心</w:t>
      </w:r>
      <w:r>
        <w:rPr>
          <w:rFonts w:hint="eastAsia" w:ascii="仿宋_GB2312" w:hAnsi="仿宋_GB2312" w:eastAsia="仿宋_GB2312" w:cs="仿宋_GB2312"/>
          <w:b/>
          <w:bCs w:val="0"/>
          <w:color w:val="auto"/>
          <w:sz w:val="32"/>
          <w:szCs w:val="32"/>
          <w:highlight w:val="none"/>
          <w:lang w:val="en-US" w:eastAsia="zh-CN"/>
        </w:rPr>
        <w:t>、学生工作处）</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开展诚信考试教育，</w:t>
      </w:r>
      <w:r>
        <w:rPr>
          <w:rFonts w:hint="eastAsia" w:ascii="仿宋_GB2312" w:hAnsi="仿宋_GB2312" w:eastAsia="仿宋_GB2312" w:cs="仿宋_GB2312"/>
          <w:color w:val="auto"/>
          <w:sz w:val="32"/>
          <w:szCs w:val="32"/>
        </w:rPr>
        <w:t>营造浓厚的读书氛围，优化整合</w:t>
      </w:r>
      <w:r>
        <w:rPr>
          <w:rFonts w:hint="eastAsia" w:ascii="仿宋_GB2312" w:hAnsi="仿宋_GB2312" w:eastAsia="仿宋_GB2312" w:cs="仿宋_GB2312"/>
          <w:color w:val="auto"/>
          <w:sz w:val="32"/>
          <w:szCs w:val="32"/>
          <w:lang w:val="en-US" w:eastAsia="zh-CN"/>
        </w:rPr>
        <w:t>图书馆、教学楼</w:t>
      </w:r>
      <w:r>
        <w:rPr>
          <w:rFonts w:hint="eastAsia" w:ascii="仿宋_GB2312" w:hAnsi="仿宋_GB2312" w:eastAsia="仿宋_GB2312" w:cs="仿宋_GB2312"/>
          <w:color w:val="auto"/>
          <w:sz w:val="32"/>
          <w:szCs w:val="32"/>
        </w:rPr>
        <w:t>考研专区</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sz w:val="32"/>
          <w:szCs w:val="32"/>
        </w:rPr>
        <w:t>推行阅读学分</w:t>
      </w:r>
      <w:r>
        <w:rPr>
          <w:rFonts w:hint="eastAsia" w:ascii="仿宋_GB2312" w:hAnsi="仿宋_GB2312" w:eastAsia="仿宋_GB2312" w:cs="仿宋_GB2312"/>
          <w:b/>
          <w:bCs w:val="0"/>
          <w:color w:val="auto"/>
          <w:sz w:val="32"/>
          <w:szCs w:val="32"/>
          <w:highlight w:val="none"/>
          <w:lang w:val="en-US" w:eastAsia="zh-CN"/>
        </w:rPr>
        <w:t>（图书馆、教务处、学生工作处）</w:t>
      </w:r>
      <w:r>
        <w:rPr>
          <w:rFonts w:hint="eastAsia" w:ascii="仿宋_GB2312" w:hAnsi="仿宋_GB2312" w:eastAsia="仿宋_GB2312" w:cs="仿宋_GB2312"/>
          <w:color w:val="auto"/>
          <w:sz w:val="32"/>
          <w:szCs w:val="32"/>
        </w:rPr>
        <w:t>。</w:t>
      </w:r>
    </w:p>
    <w:p w14:paraId="2668682A">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12.提高生源质量和毕业生就业质量</w:t>
      </w:r>
    </w:p>
    <w:p w14:paraId="0EC6F7F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以提高生源质量</w:t>
      </w:r>
      <w:r>
        <w:rPr>
          <w:rFonts w:hint="eastAsia" w:ascii="Times New Roman" w:hAnsi="Times New Roman" w:eastAsia="仿宋_GB2312" w:cs="Times New Roman"/>
          <w:color w:val="auto"/>
          <w:kern w:val="0"/>
          <w:sz w:val="32"/>
          <w:szCs w:val="32"/>
          <w:lang w:val="en-US" w:eastAsia="zh-CN"/>
        </w:rPr>
        <w:t>和新生报到率</w:t>
      </w:r>
      <w:r>
        <w:rPr>
          <w:rFonts w:hint="eastAsia" w:ascii="Times New Roman" w:hAnsi="Times New Roman" w:eastAsia="仿宋_GB2312" w:cs="Times New Roman"/>
          <w:color w:val="auto"/>
          <w:kern w:val="0"/>
          <w:sz w:val="32"/>
          <w:szCs w:val="32"/>
        </w:rPr>
        <w:t>为</w:t>
      </w:r>
      <w:r>
        <w:rPr>
          <w:rFonts w:hint="eastAsia" w:ascii="Times New Roman" w:hAnsi="Times New Roman" w:eastAsia="仿宋_GB2312" w:cs="Times New Roman"/>
          <w:color w:val="auto"/>
          <w:kern w:val="0"/>
          <w:sz w:val="32"/>
          <w:szCs w:val="32"/>
          <w:lang w:val="en-US" w:eastAsia="zh-CN"/>
        </w:rPr>
        <w:t>目标</w:t>
      </w:r>
      <w:r>
        <w:rPr>
          <w:rFonts w:hint="eastAsia" w:ascii="Times New Roman" w:hAnsi="Times New Roman" w:eastAsia="仿宋_GB2312" w:cs="Times New Roman"/>
          <w:color w:val="auto"/>
          <w:kern w:val="0"/>
          <w:sz w:val="32"/>
          <w:szCs w:val="32"/>
        </w:rPr>
        <w:t>，精心论证专业计划分配投放</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完善“三全招生”。分类施策，做好普通本专科、3+2联合培养、专升本等不同类型学生的招生工作。加强招生队伍专业化培训建设，加大网络宣传力度</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确保</w:t>
      </w:r>
      <w:r>
        <w:rPr>
          <w:rFonts w:hint="eastAsia" w:ascii="Times New Roman" w:hAnsi="Times New Roman" w:eastAsia="仿宋_GB2312" w:cs="Times New Roman"/>
          <w:color w:val="auto"/>
          <w:kern w:val="0"/>
          <w:sz w:val="32"/>
          <w:szCs w:val="32"/>
          <w:lang w:val="en-US" w:eastAsia="zh-CN"/>
        </w:rPr>
        <w:t>各科类总体生源充足率（报录比）不低于1:1，</w:t>
      </w:r>
      <w:r>
        <w:rPr>
          <w:rFonts w:hint="eastAsia" w:ascii="Times New Roman" w:hAnsi="Times New Roman" w:eastAsia="仿宋_GB2312" w:cs="Times New Roman"/>
          <w:color w:val="auto"/>
          <w:kern w:val="0"/>
          <w:sz w:val="32"/>
          <w:szCs w:val="32"/>
        </w:rPr>
        <w:t>录取分数线位居同类高校前</w:t>
      </w:r>
      <w:r>
        <w:rPr>
          <w:rFonts w:hint="eastAsia" w:ascii="Times New Roman" w:hAnsi="Times New Roman" w:eastAsia="仿宋_GB2312" w:cs="Times New Roman"/>
          <w:color w:val="auto"/>
          <w:kern w:val="0"/>
          <w:sz w:val="32"/>
          <w:szCs w:val="32"/>
          <w:lang w:val="en-US" w:eastAsia="zh-CN"/>
        </w:rPr>
        <w:t>两</w:t>
      </w:r>
      <w:r>
        <w:rPr>
          <w:rFonts w:hint="eastAsia" w:ascii="Times New Roman" w:hAnsi="Times New Roman" w:eastAsia="仿宋_GB2312" w:cs="Times New Roman"/>
          <w:color w:val="auto"/>
          <w:kern w:val="0"/>
          <w:sz w:val="32"/>
          <w:szCs w:val="32"/>
        </w:rPr>
        <w:t>名，</w:t>
      </w:r>
      <w:r>
        <w:rPr>
          <w:rFonts w:hint="eastAsia" w:ascii="Times New Roman" w:hAnsi="Times New Roman" w:eastAsia="仿宋_GB2312" w:cs="Times New Roman"/>
          <w:color w:val="auto"/>
          <w:kern w:val="0"/>
          <w:sz w:val="32"/>
          <w:szCs w:val="32"/>
          <w:lang w:val="en-US" w:eastAsia="zh-CN"/>
        </w:rPr>
        <w:t>本专科</w:t>
      </w:r>
      <w:r>
        <w:rPr>
          <w:rFonts w:hint="eastAsia" w:ascii="Times New Roman" w:hAnsi="Times New Roman" w:eastAsia="仿宋_GB2312" w:cs="Times New Roman"/>
          <w:color w:val="auto"/>
          <w:kern w:val="0"/>
          <w:sz w:val="32"/>
          <w:szCs w:val="32"/>
        </w:rPr>
        <w:t>新生报到率</w:t>
      </w:r>
      <w:r>
        <w:rPr>
          <w:rFonts w:hint="eastAsia" w:ascii="Times New Roman" w:hAnsi="Times New Roman" w:eastAsia="仿宋_GB2312" w:cs="Times New Roman"/>
          <w:color w:val="auto"/>
          <w:kern w:val="0"/>
          <w:sz w:val="32"/>
          <w:szCs w:val="32"/>
          <w:lang w:val="en-US" w:eastAsia="zh-CN"/>
        </w:rPr>
        <w:t>分别</w:t>
      </w:r>
      <w:r>
        <w:rPr>
          <w:rFonts w:hint="eastAsia" w:ascii="Times New Roman" w:hAnsi="Times New Roman" w:eastAsia="仿宋_GB2312" w:cs="Times New Roman"/>
          <w:color w:val="auto"/>
          <w:kern w:val="0"/>
          <w:sz w:val="32"/>
          <w:szCs w:val="32"/>
        </w:rPr>
        <w:t>不低于9</w:t>
      </w:r>
      <w:r>
        <w:rPr>
          <w:rFonts w:ascii="Times New Roman" w:hAnsi="Times New Roman" w:eastAsia="仿宋_GB2312" w:cs="Times New Roman"/>
          <w:color w:val="auto"/>
          <w:kern w:val="0"/>
          <w:sz w:val="32"/>
          <w:szCs w:val="32"/>
        </w:rPr>
        <w:t>5</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92%</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学生工作处，各单位、各部门</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rPr>
        <w:t>。</w:t>
      </w:r>
    </w:p>
    <w:p w14:paraId="10B80E33">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开展“百企进校园计划”“访企拓岗专项行动”“名企高校携手促就业”活动，更大力度拓展市场化社会化就业渠道。健全完善大学生生涯与就业指导体系，组织全校就业工作人员和毕业班辅导员业务专项培训、大学生职业规划大赛。实行毕业生就业“一人一档”、重点人群就业精准帮扶责任制。完善就业与招生培养联动机制，</w:t>
      </w:r>
      <w:r>
        <w:rPr>
          <w:rFonts w:hint="eastAsia" w:ascii="Times New Roman" w:hAnsi="Times New Roman" w:eastAsia="仿宋_GB2312" w:cs="Times New Roman"/>
          <w:color w:val="auto"/>
          <w:kern w:val="0"/>
          <w:sz w:val="32"/>
          <w:szCs w:val="32"/>
        </w:rPr>
        <w:t>确保本届毕业生就业率</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对口就业率和签约率分别不低于</w:t>
      </w:r>
      <w:r>
        <w:rPr>
          <w:rFonts w:hint="eastAsia" w:ascii="Times New Roman" w:hAnsi="Times New Roman" w:eastAsia="仿宋_GB2312" w:cs="Times New Roman"/>
          <w:color w:val="auto"/>
          <w:kern w:val="0"/>
          <w:sz w:val="32"/>
          <w:szCs w:val="32"/>
        </w:rPr>
        <w:t>90%</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82%、80%，毕业生考研上线率达到14%</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加强对毕业生考研的调剂录取、国外升学的指导服务</w:t>
      </w:r>
      <w:r>
        <w:rPr>
          <w:rFonts w:hint="eastAsia" w:ascii="Times New Roman" w:hAnsi="Times New Roman" w:eastAsia="仿宋_GB2312" w:cs="Times New Roman"/>
          <w:b/>
          <w:bCs/>
          <w:color w:val="auto"/>
          <w:kern w:val="0"/>
          <w:sz w:val="32"/>
          <w:szCs w:val="32"/>
          <w:lang w:val="en-US" w:eastAsia="zh-CN"/>
        </w:rPr>
        <w:t>（学生工作处、教务处，各学院）</w:t>
      </w:r>
      <w:r>
        <w:rPr>
          <w:rFonts w:hint="eastAsia" w:ascii="Times New Roman" w:hAnsi="Times New Roman" w:eastAsia="仿宋_GB2312" w:cs="Times New Roman"/>
          <w:color w:val="auto"/>
          <w:kern w:val="0"/>
          <w:sz w:val="32"/>
          <w:szCs w:val="32"/>
          <w:lang w:val="en-US" w:eastAsia="zh-CN"/>
        </w:rPr>
        <w:t>。发挥校友会功能，开展</w:t>
      </w:r>
      <w:r>
        <w:rPr>
          <w:rFonts w:hint="eastAsia" w:ascii="Times New Roman" w:hAnsi="Times New Roman" w:eastAsia="仿宋_GB2312" w:cs="Times New Roman"/>
          <w:color w:val="auto"/>
          <w:kern w:val="0"/>
          <w:sz w:val="32"/>
          <w:szCs w:val="32"/>
        </w:rPr>
        <w:t>毕业生综合评价跟踪调查工作</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校友会，学生工作处</w:t>
      </w:r>
      <w:r>
        <w:rPr>
          <w:rFonts w:hint="eastAsia" w:ascii="Times New Roman" w:hAnsi="Times New Roman" w:eastAsia="仿宋_GB2312" w:cs="Times New Roman"/>
          <w:b/>
          <w:bCs/>
          <w:color w:val="auto"/>
          <w:kern w:val="0"/>
          <w:sz w:val="32"/>
          <w:szCs w:val="32"/>
          <w:lang w:eastAsia="zh-CN"/>
        </w:rPr>
        <w:t>）</w:t>
      </w:r>
      <w:r>
        <w:rPr>
          <w:rFonts w:ascii="Times New Roman" w:hAnsi="Times New Roman" w:eastAsia="仿宋_GB2312" w:cs="Times New Roman"/>
          <w:color w:val="auto"/>
          <w:kern w:val="0"/>
          <w:sz w:val="32"/>
          <w:szCs w:val="32"/>
        </w:rPr>
        <w:t>。</w:t>
      </w:r>
    </w:p>
    <w:p w14:paraId="38DCF1D7">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default"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四、聚力人才强校战略，全力营造人才聚集新环境</w:t>
      </w:r>
    </w:p>
    <w:p w14:paraId="67926CFD">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13.加强师德师风建设，弘扬教育家精神</w:t>
      </w:r>
    </w:p>
    <w:p w14:paraId="173C805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出台</w:t>
      </w:r>
      <w:r>
        <w:rPr>
          <w:rFonts w:hint="eastAsia" w:ascii="Times New Roman" w:hAnsi="Times New Roman" w:eastAsia="仿宋_GB2312" w:cs="Times New Roman"/>
          <w:color w:val="auto"/>
          <w:kern w:val="0"/>
          <w:sz w:val="32"/>
          <w:szCs w:val="32"/>
        </w:rPr>
        <w:t>《师德师风负面清单和失范行为处理办法》，</w:t>
      </w:r>
      <w:r>
        <w:rPr>
          <w:rFonts w:hint="eastAsia" w:ascii="Times New Roman" w:hAnsi="Times New Roman" w:eastAsia="仿宋_GB2312" w:cs="Times New Roman"/>
          <w:color w:val="auto"/>
          <w:kern w:val="0"/>
          <w:sz w:val="32"/>
          <w:szCs w:val="32"/>
          <w:lang w:val="en-US" w:eastAsia="zh-CN"/>
        </w:rPr>
        <w:t>“零容忍”</w:t>
      </w:r>
      <w:r>
        <w:rPr>
          <w:rFonts w:hint="eastAsia" w:ascii="Times New Roman" w:hAnsi="Times New Roman" w:eastAsia="仿宋_GB2312" w:cs="Times New Roman"/>
          <w:color w:val="auto"/>
          <w:kern w:val="0"/>
          <w:sz w:val="32"/>
          <w:szCs w:val="32"/>
        </w:rPr>
        <w:t>查处师德违规</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学术不端</w:t>
      </w:r>
      <w:r>
        <w:rPr>
          <w:rFonts w:hint="eastAsia" w:ascii="Times New Roman" w:hAnsi="Times New Roman" w:eastAsia="仿宋_GB2312" w:cs="Times New Roman"/>
          <w:color w:val="auto"/>
          <w:kern w:val="0"/>
          <w:sz w:val="32"/>
          <w:szCs w:val="32"/>
        </w:rPr>
        <w:t>行为。</w:t>
      </w:r>
      <w:r>
        <w:rPr>
          <w:rFonts w:hint="eastAsia" w:ascii="Times New Roman" w:hAnsi="Times New Roman" w:eastAsia="仿宋_GB2312" w:cs="Times New Roman"/>
          <w:color w:val="auto"/>
          <w:kern w:val="0"/>
          <w:sz w:val="32"/>
          <w:szCs w:val="32"/>
          <w:lang w:val="en-US" w:eastAsia="zh-CN"/>
        </w:rPr>
        <w:t>在全校教师中开展教育家精神学习实践活动，积极参与省教育厅组织的“荆楚好老师群星计划”等活动，选树标杆，评选推出荆楚好老师，开展</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年教师节表彰暨“</w:t>
      </w:r>
      <w:r>
        <w:rPr>
          <w:rFonts w:hint="eastAsia" w:ascii="仿宋_GB2312" w:hAnsi="仿宋_GB2312" w:eastAsia="仿宋_GB2312" w:cs="仿宋_GB2312"/>
          <w:color w:val="auto"/>
          <w:sz w:val="32"/>
          <w:szCs w:val="32"/>
          <w:lang w:val="en-US" w:eastAsia="zh-CN"/>
        </w:rPr>
        <w:t>师德标兵</w:t>
      </w:r>
      <w:r>
        <w:rPr>
          <w:rFonts w:hint="eastAsia" w:ascii="仿宋_GB2312" w:hAnsi="仿宋_GB2312" w:eastAsia="仿宋_GB2312" w:cs="仿宋_GB2312"/>
          <w:color w:val="auto"/>
          <w:sz w:val="32"/>
          <w:szCs w:val="32"/>
        </w:rPr>
        <w:t>”评选活动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组织人事处</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w:t>
      </w:r>
    </w:p>
    <w:p w14:paraId="14FDD256">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14.加大人事体制改革力度</w:t>
      </w:r>
    </w:p>
    <w:p w14:paraId="6D825958">
      <w:pPr>
        <w:pStyle w:val="2"/>
        <w:keepNext w:val="0"/>
        <w:keepLines w:val="0"/>
        <w:pageBreakBefore w:val="0"/>
        <w:kinsoku/>
        <w:wordWrap/>
        <w:overflowPunct/>
        <w:topLinePunct w:val="0"/>
        <w:autoSpaceDE/>
        <w:autoSpaceDN/>
        <w:bidi w:val="0"/>
        <w:spacing w:after="0" w:line="588" w:lineRule="exact"/>
        <w:ind w:firstLine="640" w:firstLineChars="200"/>
        <w:jc w:val="both"/>
        <w:textAlignment w:val="auto"/>
        <w:rPr>
          <w:rFonts w:hint="default" w:eastAsia="仿宋_GB2312"/>
          <w:color w:val="auto"/>
          <w:sz w:val="32"/>
          <w:szCs w:val="32"/>
          <w:lang w:val="en-US" w:eastAsia="zh-CN"/>
        </w:rPr>
      </w:pPr>
      <w:r>
        <w:rPr>
          <w:rFonts w:hint="eastAsia" w:ascii="Times New Roman" w:hAnsi="Times New Roman" w:eastAsia="仿宋_GB2312" w:cs="Times New Roman"/>
          <w:color w:val="auto"/>
          <w:kern w:val="0"/>
          <w:sz w:val="32"/>
          <w:szCs w:val="32"/>
        </w:rPr>
        <w:t>构建教师自我培训、校本培训和访学研修、企业挂职等相结合的线上线下培训体系，</w:t>
      </w:r>
      <w:r>
        <w:rPr>
          <w:rFonts w:hint="eastAsia" w:ascii="Times New Roman" w:hAnsi="Times New Roman" w:eastAsia="仿宋_GB2312" w:cs="Times New Roman"/>
          <w:color w:val="auto"/>
          <w:kern w:val="0"/>
          <w:sz w:val="32"/>
          <w:szCs w:val="32"/>
          <w:lang w:val="en-US" w:eastAsia="zh-CN"/>
        </w:rPr>
        <w:t>完善教师微格课程培训，</w:t>
      </w:r>
      <w:r>
        <w:rPr>
          <w:rFonts w:hint="eastAsia" w:ascii="Times New Roman" w:hAnsi="Times New Roman" w:eastAsia="仿宋_GB2312" w:cs="Times New Roman"/>
          <w:color w:val="auto"/>
          <w:kern w:val="0"/>
          <w:sz w:val="32"/>
          <w:szCs w:val="32"/>
        </w:rPr>
        <w:t>注重新进教职工的岗前培训</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充分发挥职称评聘在选拔人才、评价人才、</w:t>
      </w:r>
      <w:r>
        <w:rPr>
          <w:rFonts w:hint="eastAsia" w:ascii="Times New Roman" w:hAnsi="Times New Roman" w:eastAsia="仿宋_GB2312" w:cs="Times New Roman"/>
          <w:color w:val="auto"/>
          <w:kern w:val="0"/>
          <w:sz w:val="32"/>
          <w:szCs w:val="32"/>
          <w:lang w:val="en-US" w:eastAsia="zh-CN"/>
        </w:rPr>
        <w:t>激励</w:t>
      </w:r>
      <w:r>
        <w:rPr>
          <w:rFonts w:hint="eastAsia" w:ascii="Times New Roman" w:hAnsi="Times New Roman" w:eastAsia="仿宋_GB2312" w:cs="Times New Roman"/>
          <w:color w:val="auto"/>
          <w:kern w:val="0"/>
          <w:sz w:val="32"/>
          <w:szCs w:val="32"/>
        </w:rPr>
        <w:t>人才方面的导向作用，强化一线学生工作，突出成果质量导向</w:t>
      </w:r>
      <w:r>
        <w:rPr>
          <w:rFonts w:hint="eastAsia" w:ascii="Times New Roman" w:hAnsi="Times New Roman" w:eastAsia="仿宋_GB2312" w:cs="Times New Roman"/>
          <w:color w:val="auto"/>
          <w:kern w:val="0"/>
          <w:sz w:val="32"/>
          <w:szCs w:val="32"/>
          <w:lang w:val="en-US" w:eastAsia="zh-CN"/>
        </w:rPr>
        <w:t>和</w:t>
      </w:r>
      <w:r>
        <w:rPr>
          <w:rFonts w:hint="eastAsia" w:ascii="Times New Roman" w:hAnsi="Times New Roman" w:eastAsia="仿宋_GB2312" w:cs="Times New Roman"/>
          <w:color w:val="auto"/>
          <w:kern w:val="0"/>
          <w:sz w:val="32"/>
          <w:szCs w:val="32"/>
        </w:rPr>
        <w:t>教育教学实绩，</w:t>
      </w:r>
      <w:r>
        <w:rPr>
          <w:rFonts w:hint="eastAsia" w:ascii="Times New Roman" w:hAnsi="Times New Roman" w:eastAsia="仿宋_GB2312" w:cs="Times New Roman"/>
          <w:color w:val="auto"/>
          <w:kern w:val="0"/>
          <w:sz w:val="32"/>
          <w:szCs w:val="32"/>
          <w:lang w:val="en-US" w:eastAsia="zh-CN"/>
        </w:rPr>
        <w:t>启动“低职高聘”“高职低聘”的职称动态升降机制</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加强劳动关系管理，完善各类型教职工的聘用合同</w:t>
      </w:r>
      <w:r>
        <w:rPr>
          <w:rFonts w:hint="eastAsia" w:ascii="Times New Roman" w:hAnsi="Times New Roman" w:eastAsia="仿宋_GB2312" w:cs="Times New Roman"/>
          <w:b/>
          <w:bCs/>
          <w:color w:val="auto"/>
          <w:kern w:val="0"/>
          <w:sz w:val="32"/>
          <w:szCs w:val="32"/>
          <w:lang w:val="en-US" w:eastAsia="zh-CN"/>
        </w:rPr>
        <w:t>（组织人事处）</w:t>
      </w:r>
      <w:r>
        <w:rPr>
          <w:rFonts w:hint="eastAsia" w:ascii="Times New Roman" w:hAnsi="Times New Roman" w:eastAsia="仿宋_GB2312" w:cs="Times New Roman"/>
          <w:color w:val="auto"/>
          <w:kern w:val="0"/>
          <w:sz w:val="32"/>
          <w:szCs w:val="32"/>
          <w:lang w:val="en-US" w:eastAsia="zh-CN"/>
        </w:rPr>
        <w:t>。</w:t>
      </w:r>
    </w:p>
    <w:p w14:paraId="5E48C0DF">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15.加强双师素质培育</w:t>
      </w:r>
    </w:p>
    <w:p w14:paraId="361E583F">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落实学校《加强“双师型”教师队伍建设管理办法》，开展“五年一轮”的专任教师挂职锻炼情况普查，安排260人次专任教师到企事业单位挂职，确保学校“双师型”教师比例稳定在45%左右。推动行业企业工程师进课堂，年内承担教学任务的企业行业教师不少于200人。招募“银龄教师”5</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10人</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丰富兼职教师资源库，建立相对稳定的兼职教师队伍</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开展企业行业教师、兼职教师教学效果专项检查</w:t>
      </w:r>
      <w:r>
        <w:rPr>
          <w:rFonts w:hint="eastAsia" w:ascii="Times New Roman" w:hAnsi="Times New Roman" w:eastAsia="仿宋_GB2312" w:cs="Times New Roman"/>
          <w:b/>
          <w:bCs/>
          <w:color w:val="auto"/>
          <w:kern w:val="0"/>
          <w:sz w:val="32"/>
          <w:szCs w:val="32"/>
          <w:lang w:val="en-US" w:eastAsia="zh-CN"/>
        </w:rPr>
        <w:t>（组织人事处、教务处）</w:t>
      </w:r>
      <w:r>
        <w:rPr>
          <w:rFonts w:hint="eastAsia" w:ascii="Times New Roman" w:hAnsi="Times New Roman" w:eastAsia="仿宋_GB2312" w:cs="Times New Roman"/>
          <w:color w:val="auto"/>
          <w:kern w:val="0"/>
          <w:sz w:val="32"/>
          <w:szCs w:val="32"/>
          <w:lang w:val="en-US" w:eastAsia="zh-CN"/>
        </w:rPr>
        <w:t>。</w:t>
      </w:r>
    </w:p>
    <w:p w14:paraId="7A20E320">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16.加快高端人才引育</w:t>
      </w:r>
    </w:p>
    <w:p w14:paraId="729FADE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加大人才引进力度，重点引进一批中青年博士人才、学科专业领军人才</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新办专业、师资紧缺专业师资，</w:t>
      </w:r>
      <w:r>
        <w:rPr>
          <w:rFonts w:hint="eastAsia" w:ascii="Times New Roman" w:hAnsi="Times New Roman" w:eastAsia="仿宋_GB2312" w:cs="Times New Roman"/>
          <w:color w:val="auto"/>
          <w:kern w:val="0"/>
          <w:sz w:val="32"/>
          <w:szCs w:val="32"/>
          <w:lang w:val="en-US" w:eastAsia="zh-CN"/>
        </w:rPr>
        <w:t>改善教师学历、职称结构。</w:t>
      </w:r>
      <w:r>
        <w:rPr>
          <w:rFonts w:hint="eastAsia" w:ascii="Times New Roman" w:hAnsi="Times New Roman" w:eastAsia="仿宋_GB2312" w:cs="Times New Roman"/>
          <w:color w:val="auto"/>
          <w:kern w:val="0"/>
          <w:sz w:val="32"/>
          <w:szCs w:val="32"/>
        </w:rPr>
        <w:t>新增引进博士学位教师不少于</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0</w:t>
      </w:r>
      <w:r>
        <w:rPr>
          <w:rFonts w:hint="eastAsia" w:ascii="Times New Roman" w:hAnsi="Times New Roman" w:eastAsia="仿宋_GB2312" w:cs="Times New Roman"/>
          <w:color w:val="auto"/>
          <w:kern w:val="0"/>
          <w:sz w:val="32"/>
          <w:szCs w:val="32"/>
        </w:rPr>
        <w:t>人</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楚天学者</w:t>
      </w:r>
      <w:r>
        <w:rPr>
          <w:rFonts w:hint="eastAsia" w:ascii="Times New Roman" w:hAnsi="Times New Roman" w:eastAsia="仿宋_GB2312" w:cs="Times New Roman"/>
          <w:color w:val="auto"/>
          <w:kern w:val="0"/>
          <w:sz w:val="32"/>
          <w:szCs w:val="32"/>
          <w:lang w:val="en-US" w:eastAsia="zh-CN"/>
        </w:rPr>
        <w:t>1人</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省级以上人才计划人数达到6人次</w:t>
      </w:r>
      <w:r>
        <w:rPr>
          <w:rFonts w:hint="eastAsia" w:ascii="Times New Roman" w:hAnsi="Times New Roman" w:eastAsia="仿宋_GB2312" w:cs="Times New Roman"/>
          <w:color w:val="auto"/>
          <w:kern w:val="0"/>
          <w:sz w:val="32"/>
          <w:szCs w:val="32"/>
        </w:rPr>
        <w:t>。以教学名师和专业带头人为核心组建2个省级教学团队，以高层次人才为核心</w:t>
      </w:r>
      <w:r>
        <w:rPr>
          <w:rFonts w:hint="eastAsia" w:ascii="Times New Roman" w:hAnsi="Times New Roman" w:eastAsia="仿宋_GB2312" w:cs="Times New Roman"/>
          <w:color w:val="auto"/>
          <w:kern w:val="0"/>
          <w:sz w:val="32"/>
          <w:szCs w:val="32"/>
          <w:lang w:val="en-US" w:eastAsia="zh-CN"/>
        </w:rPr>
        <w:t>新建1个</w:t>
      </w:r>
      <w:r>
        <w:rPr>
          <w:rFonts w:hint="eastAsia" w:ascii="Times New Roman" w:hAnsi="Times New Roman" w:eastAsia="仿宋_GB2312" w:cs="Times New Roman"/>
          <w:color w:val="auto"/>
          <w:kern w:val="0"/>
          <w:sz w:val="32"/>
          <w:szCs w:val="32"/>
        </w:rPr>
        <w:t>省级科技创新团队</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组织人事处、教务处、科研处</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w:t>
      </w:r>
    </w:p>
    <w:p w14:paraId="03728290">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五、全面提升管理水平，构建现代治理新图景</w:t>
      </w:r>
    </w:p>
    <w:p w14:paraId="3D25E369">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17.深化教育评价改革</w:t>
      </w:r>
    </w:p>
    <w:p w14:paraId="5C7471AD">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总结分析2023年专任教师工作任务和考核规则改革成效，改革课时量计算办法和科研考核办法</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确保目标责任制考核的正确导向</w:t>
      </w:r>
      <w:r>
        <w:rPr>
          <w:rFonts w:hint="eastAsia" w:ascii="Times New Roman" w:hAnsi="Times New Roman" w:eastAsia="仿宋_GB2312" w:cs="Times New Roman"/>
          <w:b/>
          <w:bCs/>
          <w:color w:val="auto"/>
          <w:kern w:val="0"/>
          <w:sz w:val="32"/>
          <w:szCs w:val="32"/>
          <w:lang w:val="en-US" w:eastAsia="zh-CN" w:bidi="ar-SA"/>
        </w:rPr>
        <w:t>（组织人事处、校办公室）</w:t>
      </w:r>
      <w:r>
        <w:rPr>
          <w:rFonts w:hint="eastAsia" w:ascii="Times New Roman" w:hAnsi="Times New Roman" w:eastAsia="仿宋_GB2312" w:cs="Times New Roman"/>
          <w:color w:val="auto"/>
          <w:kern w:val="0"/>
          <w:sz w:val="32"/>
          <w:szCs w:val="32"/>
          <w:lang w:val="en-US" w:eastAsia="zh-CN" w:bidi="ar-SA"/>
        </w:rPr>
        <w:t>。推进课堂教学改革，组织教学设计比赛，引导教师以所授课程为对象开展教学研究、设计教学和应用型人才培养的改革实践</w:t>
      </w:r>
      <w:r>
        <w:rPr>
          <w:rFonts w:hint="eastAsia" w:ascii="Times New Roman" w:hAnsi="Times New Roman" w:eastAsia="仿宋_GB2312" w:cs="Times New Roman"/>
          <w:b/>
          <w:bCs/>
          <w:color w:val="auto"/>
          <w:kern w:val="0"/>
          <w:sz w:val="32"/>
          <w:szCs w:val="32"/>
          <w:lang w:val="en-US" w:eastAsia="zh-CN" w:bidi="ar-SA"/>
        </w:rPr>
        <w:t>（</w:t>
      </w:r>
      <w:r>
        <w:rPr>
          <w:rFonts w:hint="eastAsia" w:ascii="Times New Roman" w:hAnsi="Times New Roman" w:eastAsia="仿宋_GB2312" w:cs="Times New Roman"/>
          <w:b/>
          <w:bCs/>
          <w:color w:val="auto"/>
          <w:kern w:val="0"/>
          <w:sz w:val="32"/>
          <w:szCs w:val="32"/>
          <w:lang w:val="en-US" w:eastAsia="zh-CN"/>
        </w:rPr>
        <w:t>组织人事处、</w:t>
      </w:r>
      <w:r>
        <w:rPr>
          <w:rFonts w:hint="eastAsia" w:ascii="Times New Roman" w:hAnsi="Times New Roman" w:eastAsia="仿宋_GB2312" w:cs="Times New Roman"/>
          <w:b/>
          <w:bCs/>
          <w:color w:val="auto"/>
          <w:kern w:val="0"/>
          <w:sz w:val="32"/>
          <w:szCs w:val="32"/>
          <w:lang w:val="en-US" w:eastAsia="zh-CN" w:bidi="ar-SA"/>
        </w:rPr>
        <w:t>教务处，各教学单位）</w:t>
      </w:r>
      <w:r>
        <w:rPr>
          <w:rFonts w:hint="eastAsia" w:ascii="Times New Roman" w:hAnsi="Times New Roman" w:eastAsia="仿宋_GB2312" w:cs="Times New Roman"/>
          <w:color w:val="auto"/>
          <w:kern w:val="0"/>
          <w:sz w:val="32"/>
          <w:szCs w:val="32"/>
          <w:lang w:val="en-US" w:eastAsia="zh-CN" w:bidi="ar-SA"/>
        </w:rPr>
        <w:t>；推进学生学业评价改革，加强课堂参与和课堂纪律考核，创新德智体美劳过程性评价办法，完善综合素质评价体系</w:t>
      </w:r>
      <w:r>
        <w:rPr>
          <w:rFonts w:hint="eastAsia" w:ascii="Times New Roman" w:hAnsi="Times New Roman" w:eastAsia="仿宋_GB2312" w:cs="Times New Roman"/>
          <w:b/>
          <w:bCs/>
          <w:color w:val="auto"/>
          <w:kern w:val="0"/>
          <w:sz w:val="32"/>
          <w:szCs w:val="32"/>
          <w:lang w:val="en-US" w:eastAsia="zh-CN" w:bidi="ar-SA"/>
        </w:rPr>
        <w:t>（学生工作处、教务处）</w:t>
      </w:r>
      <w:r>
        <w:rPr>
          <w:rFonts w:hint="eastAsia" w:ascii="Times New Roman" w:hAnsi="Times New Roman" w:eastAsia="仿宋_GB2312" w:cs="Times New Roman"/>
          <w:color w:val="auto"/>
          <w:kern w:val="0"/>
          <w:sz w:val="32"/>
          <w:szCs w:val="32"/>
          <w:lang w:val="en-US" w:eastAsia="zh-CN" w:bidi="ar-SA"/>
        </w:rPr>
        <w:t>；改进科研评价，</w:t>
      </w:r>
      <w:r>
        <w:rPr>
          <w:rFonts w:hint="eastAsia" w:ascii="Times New Roman" w:hAnsi="Times New Roman" w:eastAsia="仿宋_GB2312" w:cs="Times New Roman"/>
          <w:color w:val="auto"/>
          <w:kern w:val="0"/>
          <w:sz w:val="32"/>
          <w:szCs w:val="32"/>
          <w:lang w:val="en-US" w:eastAsia="zh-CN"/>
        </w:rPr>
        <w:t>破五唯、立新标</w:t>
      </w:r>
      <w:r>
        <w:rPr>
          <w:rFonts w:hint="eastAsia" w:ascii="Times New Roman" w:hAnsi="Times New Roman" w:eastAsia="仿宋_GB2312" w:cs="Times New Roman"/>
          <w:color w:val="auto"/>
          <w:kern w:val="0"/>
          <w:sz w:val="32"/>
          <w:szCs w:val="32"/>
          <w:lang w:val="en-US" w:eastAsia="zh-CN" w:bidi="ar-SA"/>
        </w:rPr>
        <w:t>，坚持稳中求进、先立后破</w:t>
      </w:r>
      <w:r>
        <w:rPr>
          <w:rFonts w:hint="eastAsia" w:ascii="Times New Roman" w:hAnsi="Times New Roman" w:eastAsia="仿宋_GB2312" w:cs="Times New Roman"/>
          <w:b/>
          <w:bCs/>
          <w:color w:val="auto"/>
          <w:kern w:val="0"/>
          <w:sz w:val="32"/>
          <w:szCs w:val="32"/>
          <w:lang w:val="en-US" w:eastAsia="zh-CN" w:bidi="ar-SA"/>
        </w:rPr>
        <w:t>（科研处）</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强化制度保障，</w:t>
      </w:r>
      <w:r>
        <w:rPr>
          <w:rFonts w:hint="eastAsia" w:ascii="Times New Roman" w:hAnsi="Times New Roman" w:eastAsia="仿宋_GB2312" w:cs="Times New Roman"/>
          <w:color w:val="auto"/>
          <w:kern w:val="0"/>
          <w:sz w:val="32"/>
          <w:szCs w:val="32"/>
          <w:lang w:val="en-US" w:eastAsia="zh-CN" w:bidi="ar-SA"/>
        </w:rPr>
        <w:t>全面修订重构教学、科研管理规章制度体系，促进学校各项改革常态长效</w:t>
      </w:r>
      <w:r>
        <w:rPr>
          <w:rFonts w:hint="eastAsia" w:ascii="Times New Roman" w:hAnsi="Times New Roman" w:eastAsia="仿宋_GB2312" w:cs="Times New Roman"/>
          <w:b/>
          <w:bCs/>
          <w:color w:val="auto"/>
          <w:kern w:val="0"/>
          <w:sz w:val="32"/>
          <w:szCs w:val="32"/>
          <w:lang w:val="en-US" w:eastAsia="zh-CN" w:bidi="ar-SA"/>
        </w:rPr>
        <w:t>（发展规划处、科研处）</w:t>
      </w:r>
      <w:r>
        <w:rPr>
          <w:rFonts w:hint="eastAsia" w:ascii="Times New Roman" w:hAnsi="Times New Roman" w:eastAsia="仿宋_GB2312" w:cs="Times New Roman"/>
          <w:color w:val="auto"/>
          <w:kern w:val="0"/>
          <w:sz w:val="32"/>
          <w:szCs w:val="32"/>
          <w:lang w:val="en-US" w:eastAsia="zh-CN" w:bidi="ar-SA"/>
        </w:rPr>
        <w:t>。</w:t>
      </w:r>
    </w:p>
    <w:p w14:paraId="350D19FD">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18.完善南校区管理模式</w:t>
      </w:r>
    </w:p>
    <w:p w14:paraId="4055BBA4">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default" w:ascii="楷体_GB2312" w:hAnsi="Times New Roman" w:eastAsia="楷体_GB2312" w:cs="Times New Roman"/>
          <w:b/>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明确南校区发展定位、办学功能、学科布局和管理模式，报请教育部同意将南校区增列为我校法定办学地址，总结评估南校区一年半的办学情况和发展需要，进一步完善南校区“学校统一领导、主校区职能延伸管理和南校区工作专班管理相结合”的运行管理模式，确保两个校区在安全管理、教育教学质量等全方位“同校同质”</w:t>
      </w:r>
      <w:r>
        <w:rPr>
          <w:rFonts w:hint="eastAsia" w:ascii="Times New Roman" w:hAnsi="Times New Roman" w:eastAsia="仿宋_GB2312" w:cs="Times New Roman"/>
          <w:b/>
          <w:bCs/>
          <w:color w:val="auto"/>
          <w:kern w:val="0"/>
          <w:sz w:val="32"/>
          <w:szCs w:val="32"/>
          <w:lang w:val="en-US" w:eastAsia="zh-CN" w:bidi="ar-SA"/>
        </w:rPr>
        <w:t>（南校区，各单位、各部门）</w:t>
      </w:r>
      <w:r>
        <w:rPr>
          <w:rFonts w:hint="eastAsia" w:ascii="Times New Roman" w:hAnsi="Times New Roman" w:eastAsia="仿宋_GB2312" w:cs="Times New Roman"/>
          <w:color w:val="auto"/>
          <w:kern w:val="0"/>
          <w:sz w:val="32"/>
          <w:szCs w:val="32"/>
          <w:lang w:val="en-US" w:eastAsia="zh-CN" w:bidi="ar-SA"/>
        </w:rPr>
        <w:t>。完成南校区各项竣工验收和办证手续，启动南校区二期建设</w:t>
      </w:r>
      <w:r>
        <w:rPr>
          <w:rFonts w:hint="eastAsia" w:ascii="Times New Roman" w:hAnsi="Times New Roman" w:eastAsia="仿宋_GB2312" w:cs="Times New Roman"/>
          <w:b/>
          <w:bCs/>
          <w:color w:val="auto"/>
          <w:kern w:val="0"/>
          <w:sz w:val="32"/>
          <w:szCs w:val="32"/>
          <w:lang w:val="en-US" w:eastAsia="zh-CN" w:bidi="ar-SA"/>
        </w:rPr>
        <w:t>（发展规划处，南校区）</w:t>
      </w:r>
      <w:r>
        <w:rPr>
          <w:rFonts w:hint="eastAsia" w:ascii="Times New Roman" w:hAnsi="Times New Roman" w:eastAsia="仿宋_GB2312" w:cs="Times New Roman"/>
          <w:color w:val="auto"/>
          <w:kern w:val="0"/>
          <w:sz w:val="32"/>
          <w:szCs w:val="32"/>
          <w:lang w:val="en-US" w:eastAsia="zh-CN" w:bidi="ar-SA"/>
        </w:rPr>
        <w:t>。</w:t>
      </w:r>
    </w:p>
    <w:p w14:paraId="58BB8EAB">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19.竞逐数字化改革新赛道</w:t>
      </w:r>
    </w:p>
    <w:p w14:paraId="7720411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开展教育数字化专项行动，筑牢学校数字化底座。遵循“强基础、补短板、重应用、树标杆”的工作理念，全面推进“十四五”信息化建设规划各项任务，构建信息化标准规范及相关考评机制，积极创建“湖北省高等教育智慧校园标杆（示范）校”</w:t>
      </w:r>
      <w:r>
        <w:rPr>
          <w:rFonts w:hint="eastAsia" w:ascii="Times New Roman" w:hAnsi="Times New Roman" w:eastAsia="仿宋_GB2312" w:cs="Times New Roman"/>
          <w:b/>
          <w:bCs/>
          <w:color w:val="auto"/>
          <w:kern w:val="0"/>
          <w:sz w:val="32"/>
          <w:szCs w:val="32"/>
          <w:lang w:val="en-US" w:eastAsia="zh-CN"/>
        </w:rPr>
        <w:t>（后勤保卫处，有关部门）</w:t>
      </w:r>
      <w:r>
        <w:rPr>
          <w:rFonts w:hint="eastAsia" w:ascii="Times New Roman" w:hAnsi="Times New Roman" w:eastAsia="仿宋_GB2312" w:cs="Times New Roman"/>
          <w:color w:val="auto"/>
          <w:kern w:val="0"/>
          <w:sz w:val="32"/>
          <w:szCs w:val="32"/>
          <w:lang w:val="en-US" w:eastAsia="zh-CN"/>
        </w:rPr>
        <w:t>。升级改造校园网络基础设施，开设VPN服务，完成两校区网络互联互通；制定学校数据标准和规范，建设学校全域数据中心，实现全校一数一源、一号通行、单点登录、应用漫游；搭建面向全校的云计算平台，提供统一的数据存储、中间件等基础环境。建设校园网络安全态势感知体系</w:t>
      </w:r>
      <w:r>
        <w:rPr>
          <w:rFonts w:hint="eastAsia" w:ascii="Times New Roman" w:hAnsi="Times New Roman" w:eastAsia="仿宋_GB2312" w:cs="Times New Roman"/>
          <w:b/>
          <w:bCs/>
          <w:color w:val="auto"/>
          <w:kern w:val="0"/>
          <w:sz w:val="32"/>
          <w:szCs w:val="32"/>
          <w:lang w:val="en-US" w:eastAsia="zh-CN"/>
        </w:rPr>
        <w:t>（后勤保卫处）</w:t>
      </w:r>
      <w:r>
        <w:rPr>
          <w:rFonts w:hint="eastAsia" w:ascii="Times New Roman" w:hAnsi="Times New Roman" w:eastAsia="仿宋_GB2312" w:cs="Times New Roman"/>
          <w:color w:val="auto"/>
          <w:kern w:val="0"/>
          <w:sz w:val="32"/>
          <w:szCs w:val="32"/>
        </w:rPr>
        <w:t>。积极发展“互联网+教育”，推动信息技术与教育教学的深度融合和教育服务模式、学习方式的变革</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提升教师信息技术应用能力</w:t>
      </w:r>
      <w:r>
        <w:rPr>
          <w:rFonts w:hint="eastAsia" w:ascii="Times New Roman" w:hAnsi="Times New Roman" w:eastAsia="仿宋_GB2312" w:cs="Times New Roman"/>
          <w:b/>
          <w:bCs/>
          <w:color w:val="auto"/>
          <w:kern w:val="0"/>
          <w:sz w:val="32"/>
          <w:szCs w:val="32"/>
          <w:lang w:val="en-US" w:eastAsia="zh-CN"/>
        </w:rPr>
        <w:t>（后勤保卫处、教务处、组织人事处）</w:t>
      </w:r>
      <w:r>
        <w:rPr>
          <w:rFonts w:hint="eastAsia" w:ascii="Times New Roman" w:hAnsi="Times New Roman" w:eastAsia="仿宋_GB2312" w:cs="Times New Roman"/>
          <w:color w:val="auto"/>
          <w:kern w:val="0"/>
          <w:sz w:val="32"/>
          <w:szCs w:val="32"/>
          <w:lang w:eastAsia="zh-CN"/>
        </w:rPr>
        <w:t>。</w:t>
      </w:r>
    </w:p>
    <w:p w14:paraId="7CE013F3">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20.开创服务保障工作新局面</w:t>
      </w:r>
    </w:p>
    <w:p w14:paraId="7691E237">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b/>
          <w:color w:val="auto"/>
          <w:kern w:val="0"/>
          <w:sz w:val="32"/>
          <w:szCs w:val="32"/>
        </w:rPr>
      </w:pPr>
      <w:r>
        <w:rPr>
          <w:rFonts w:hint="eastAsia" w:ascii="Times New Roman" w:hAnsi="Times New Roman" w:eastAsia="仿宋_GB2312" w:cs="Times New Roman"/>
          <w:color w:val="auto"/>
          <w:kern w:val="0"/>
          <w:sz w:val="32"/>
          <w:szCs w:val="32"/>
          <w:lang w:val="en-US" w:eastAsia="zh-CN"/>
        </w:rPr>
        <w:t>高质量实施武汉校区建设改造工程项目和南校区二期规划建设。如期完成南校区二期工程（高等职业技术学院）中的教学楼、学生食堂、宿舍组团等主体工程及其配套、附属设施（如供配电、给排水、消防、道路、围墙及大门等）的建设，升级改造武汉校区实验大楼、教一楼等教育教学配套设施。加大专业基础实验室和新专业实验室建设投入，重点做好现代工程实训中心规划与建设。</w:t>
      </w:r>
      <w:r>
        <w:rPr>
          <w:rFonts w:hint="eastAsia" w:ascii="Times New Roman" w:hAnsi="Times New Roman" w:eastAsia="仿宋_GB2312" w:cs="Times New Roman"/>
          <w:color w:val="auto"/>
          <w:kern w:val="0"/>
          <w:sz w:val="32"/>
          <w:szCs w:val="32"/>
        </w:rPr>
        <w:t>完善</w:t>
      </w:r>
      <w:r>
        <w:rPr>
          <w:rFonts w:hint="eastAsia" w:ascii="Times New Roman" w:hAnsi="Times New Roman" w:eastAsia="仿宋_GB2312" w:cs="Times New Roman"/>
          <w:color w:val="auto"/>
          <w:kern w:val="0"/>
          <w:sz w:val="32"/>
          <w:szCs w:val="32"/>
          <w:lang w:val="en-US" w:eastAsia="zh-CN"/>
        </w:rPr>
        <w:t>南校区</w:t>
      </w:r>
      <w:r>
        <w:rPr>
          <w:rFonts w:hint="eastAsia" w:ascii="Times New Roman" w:hAnsi="Times New Roman" w:eastAsia="仿宋_GB2312" w:cs="Times New Roman"/>
          <w:color w:val="auto"/>
          <w:kern w:val="0"/>
          <w:sz w:val="32"/>
          <w:szCs w:val="32"/>
        </w:rPr>
        <w:t>各项教学设施和工作生活设施，</w:t>
      </w:r>
      <w:r>
        <w:rPr>
          <w:rFonts w:hint="eastAsia" w:ascii="Times New Roman" w:hAnsi="Times New Roman" w:eastAsia="仿宋_GB2312" w:cs="Times New Roman"/>
          <w:color w:val="auto"/>
          <w:kern w:val="0"/>
          <w:sz w:val="32"/>
          <w:szCs w:val="32"/>
          <w:lang w:val="en-US" w:eastAsia="zh-CN"/>
        </w:rPr>
        <w:t>启动南校区教职工公寓的规划设计，力争年内开工建设</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后勤保卫处，相关单位</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推进“书香校园”建设，</w:t>
      </w:r>
      <w:r>
        <w:rPr>
          <w:rFonts w:ascii="Times New Roman" w:hAnsi="Times New Roman" w:eastAsia="仿宋_GB2312" w:cs="Times New Roman"/>
          <w:color w:val="auto"/>
          <w:kern w:val="0"/>
          <w:sz w:val="32"/>
          <w:szCs w:val="32"/>
        </w:rPr>
        <w:t>提升图书馆、档案馆管理服务水平</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图书馆、档案馆</w:t>
      </w:r>
      <w:r>
        <w:rPr>
          <w:rFonts w:hint="eastAsia" w:ascii="Times New Roman" w:hAnsi="Times New Roman" w:eastAsia="仿宋_GB2312" w:cs="Times New Roman"/>
          <w:b/>
          <w:bCs/>
          <w:color w:val="auto"/>
          <w:kern w:val="0"/>
          <w:sz w:val="32"/>
          <w:szCs w:val="32"/>
          <w:lang w:eastAsia="zh-CN"/>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加强预算管理，</w:t>
      </w:r>
      <w:r>
        <w:rPr>
          <w:rFonts w:hint="eastAsia" w:ascii="Times New Roman" w:hAnsi="Times New Roman" w:eastAsia="仿宋_GB2312" w:cs="Times New Roman"/>
          <w:color w:val="auto"/>
          <w:kern w:val="0"/>
          <w:sz w:val="32"/>
          <w:szCs w:val="32"/>
        </w:rPr>
        <w:t>保障“十四五”规划重点项目实施</w:t>
      </w:r>
      <w:r>
        <w:rPr>
          <w:rFonts w:hint="eastAsia" w:ascii="Times New Roman" w:hAnsi="Times New Roman" w:eastAsia="仿宋_GB2312" w:cs="Times New Roman"/>
          <w:color w:val="auto"/>
          <w:kern w:val="0"/>
          <w:sz w:val="32"/>
          <w:szCs w:val="32"/>
          <w:lang w:val="en-US" w:eastAsia="zh-CN"/>
        </w:rPr>
        <w:t>和审核评估有关经费投</w:t>
      </w:r>
      <w:r>
        <w:rPr>
          <w:rFonts w:hint="eastAsia" w:ascii="Times New Roman" w:hAnsi="Times New Roman" w:eastAsia="仿宋_GB2312" w:cs="Times New Roman"/>
          <w:color w:val="auto"/>
          <w:kern w:val="0"/>
          <w:sz w:val="32"/>
          <w:szCs w:val="32"/>
          <w:highlight w:val="none"/>
          <w:lang w:val="en-US" w:eastAsia="zh-CN"/>
        </w:rPr>
        <w:t>入观测指标达</w:t>
      </w:r>
      <w:r>
        <w:rPr>
          <w:rFonts w:hint="eastAsia" w:ascii="Times New Roman" w:hAnsi="Times New Roman" w:eastAsia="仿宋_GB2312" w:cs="Times New Roman"/>
          <w:color w:val="auto"/>
          <w:kern w:val="0"/>
          <w:sz w:val="32"/>
          <w:szCs w:val="32"/>
          <w:lang w:val="en-US" w:eastAsia="zh-CN"/>
        </w:rPr>
        <w:t>标，落实教职工工资增长方案</w:t>
      </w:r>
      <w:r>
        <w:rPr>
          <w:rFonts w:hint="eastAsia" w:ascii="Times New Roman" w:hAnsi="Times New Roman" w:eastAsia="仿宋_GB2312" w:cs="Times New Roman"/>
          <w:b/>
          <w:bCs/>
          <w:color w:val="auto"/>
          <w:kern w:val="0"/>
          <w:sz w:val="32"/>
          <w:szCs w:val="32"/>
          <w:lang w:val="en-US" w:eastAsia="zh-CN"/>
        </w:rPr>
        <w:t>（财务处、组织人事处）</w:t>
      </w:r>
      <w:r>
        <w:rPr>
          <w:rFonts w:hint="eastAsia" w:ascii="Times New Roman" w:hAnsi="Times New Roman" w:eastAsia="仿宋_GB2312" w:cs="Times New Roman"/>
          <w:b/>
          <w:color w:val="auto"/>
          <w:kern w:val="0"/>
          <w:sz w:val="32"/>
          <w:szCs w:val="32"/>
        </w:rPr>
        <w:t>。</w:t>
      </w:r>
    </w:p>
    <w:p w14:paraId="6F807848">
      <w:pPr>
        <w:pStyle w:val="2"/>
        <w:keepNext w:val="0"/>
        <w:keepLines w:val="0"/>
        <w:pageBreakBefore w:val="0"/>
        <w:widowControl w:val="0"/>
        <w:kinsoku/>
        <w:wordWrap/>
        <w:overflowPunct/>
        <w:topLinePunct w:val="0"/>
        <w:autoSpaceDE/>
        <w:autoSpaceDN/>
        <w:bidi w:val="0"/>
        <w:adjustRightInd/>
        <w:snapToGrid/>
        <w:spacing w:after="0" w:line="588" w:lineRule="exact"/>
        <w:ind w:firstLine="643" w:firstLineChars="200"/>
        <w:jc w:val="both"/>
        <w:textAlignment w:val="auto"/>
        <w:rPr>
          <w:rFonts w:hint="eastAsia" w:ascii="楷体_GB2312" w:hAnsi="Times New Roman" w:eastAsia="楷体_GB2312" w:cs="Times New Roman"/>
          <w:b/>
          <w:color w:val="auto"/>
          <w:kern w:val="0"/>
          <w:sz w:val="32"/>
          <w:szCs w:val="32"/>
          <w:lang w:val="en-US" w:eastAsia="zh-CN" w:bidi="ar-SA"/>
        </w:rPr>
      </w:pPr>
      <w:r>
        <w:rPr>
          <w:rFonts w:hint="eastAsia" w:ascii="楷体_GB2312" w:hAnsi="Times New Roman" w:eastAsia="楷体_GB2312" w:cs="Times New Roman"/>
          <w:b/>
          <w:color w:val="auto"/>
          <w:kern w:val="0"/>
          <w:sz w:val="32"/>
          <w:szCs w:val="32"/>
          <w:lang w:val="en-US" w:eastAsia="zh-CN" w:bidi="ar-SA"/>
        </w:rPr>
        <w:t>21.营造安全发展新环境</w:t>
      </w:r>
    </w:p>
    <w:p w14:paraId="4AD9C798">
      <w:pPr>
        <w:pStyle w:val="2"/>
        <w:keepNext w:val="0"/>
        <w:keepLines w:val="0"/>
        <w:pageBreakBefore w:val="0"/>
        <w:widowControl w:val="0"/>
        <w:numPr>
          <w:ilvl w:val="0"/>
          <w:numId w:val="0"/>
        </w:numPr>
        <w:kinsoku/>
        <w:wordWrap/>
        <w:overflowPunct/>
        <w:topLinePunct w:val="0"/>
        <w:autoSpaceDE/>
        <w:autoSpaceDN/>
        <w:bidi w:val="0"/>
        <w:adjustRightInd/>
        <w:snapToGrid/>
        <w:spacing w:after="0" w:line="588" w:lineRule="exact"/>
        <w:ind w:firstLine="640" w:firstLineChars="200"/>
        <w:jc w:val="both"/>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lang w:val="en-US" w:eastAsia="zh-CN"/>
        </w:rPr>
        <w:t>全力维护政治安全和意识形态安全，优化舆情监测、研判、报告、处置等流程</w:t>
      </w:r>
      <w:r>
        <w:rPr>
          <w:rFonts w:hint="eastAsia" w:ascii="Times New Roman" w:hAnsi="Times New Roman" w:eastAsia="仿宋_GB2312" w:cs="Times New Roman"/>
          <w:color w:val="auto"/>
          <w:kern w:val="0"/>
          <w:sz w:val="32"/>
          <w:szCs w:val="32"/>
        </w:rPr>
        <w:t>，构建网格化管理、精细化服务、信息化支撑的管理服务平台</w:t>
      </w:r>
      <w:r>
        <w:rPr>
          <w:rFonts w:hint="eastAsia"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做好敏感时期</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重大节假日</w:t>
      </w:r>
      <w:r>
        <w:rPr>
          <w:rFonts w:hint="eastAsia" w:ascii="Times New Roman" w:hAnsi="Times New Roman" w:eastAsia="仿宋_GB2312" w:cs="Times New Roman"/>
          <w:color w:val="auto"/>
          <w:kern w:val="0"/>
          <w:sz w:val="32"/>
          <w:szCs w:val="32"/>
        </w:rPr>
        <w:t>值班</w:t>
      </w:r>
      <w:r>
        <w:rPr>
          <w:rFonts w:ascii="Times New Roman" w:hAnsi="Times New Roman" w:eastAsia="仿宋_GB2312" w:cs="Times New Roman"/>
          <w:color w:val="auto"/>
          <w:kern w:val="0"/>
          <w:sz w:val="32"/>
          <w:szCs w:val="32"/>
        </w:rPr>
        <w:t>工作</w:t>
      </w:r>
      <w:r>
        <w:rPr>
          <w:rFonts w:hint="eastAsia" w:ascii="Times New Roman" w:hAnsi="Times New Roman" w:eastAsia="仿宋_GB2312" w:cs="Times New Roman"/>
          <w:color w:val="auto"/>
          <w:kern w:val="0"/>
          <w:sz w:val="32"/>
          <w:szCs w:val="32"/>
        </w:rPr>
        <w:t>，扎实推进平安校园“七防工程”</w:t>
      </w:r>
      <w:r>
        <w:rPr>
          <w:rFonts w:hint="eastAsia" w:ascii="Times New Roman" w:hAnsi="Times New Roman" w:eastAsia="仿宋_GB2312" w:cs="Times New Roman"/>
          <w:color w:val="auto"/>
          <w:kern w:val="0"/>
          <w:sz w:val="32"/>
          <w:szCs w:val="32"/>
          <w:lang w:val="en-US" w:eastAsia="zh-CN"/>
        </w:rPr>
        <w:t>，有效利用学校智慧安防体系</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统筹发展与安全</w:t>
      </w:r>
      <w:r>
        <w:rPr>
          <w:rFonts w:hint="eastAsia" w:ascii="Times New Roman" w:hAnsi="Times New Roman" w:eastAsia="仿宋_GB2312" w:cs="Times New Roman"/>
          <w:b/>
          <w:bCs/>
          <w:color w:val="auto"/>
          <w:kern w:val="0"/>
          <w:sz w:val="32"/>
          <w:szCs w:val="32"/>
          <w:lang w:val="en-US" w:eastAsia="zh-CN"/>
        </w:rPr>
        <w:t>（校办公室、后勤保卫处、党委宣传部）</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常态化</w:t>
      </w:r>
      <w:r>
        <w:rPr>
          <w:rFonts w:hint="eastAsia" w:ascii="Times New Roman" w:hAnsi="Times New Roman" w:eastAsia="仿宋_GB2312" w:cs="Times New Roman"/>
          <w:color w:val="auto"/>
          <w:kern w:val="0"/>
          <w:sz w:val="32"/>
          <w:szCs w:val="32"/>
        </w:rPr>
        <w:t>开展</w:t>
      </w:r>
      <w:r>
        <w:rPr>
          <w:rFonts w:hint="eastAsia" w:ascii="Times New Roman" w:hAnsi="Times New Roman" w:eastAsia="仿宋_GB2312" w:cs="Times New Roman"/>
          <w:color w:val="auto"/>
          <w:kern w:val="0"/>
          <w:sz w:val="32"/>
          <w:szCs w:val="32"/>
          <w:lang w:val="en-US" w:eastAsia="zh-CN"/>
        </w:rPr>
        <w:t>人身财产安全、</w:t>
      </w:r>
      <w:r>
        <w:rPr>
          <w:rFonts w:hint="eastAsia" w:ascii="Times New Roman" w:hAnsi="Times New Roman" w:eastAsia="仿宋_GB2312" w:cs="Times New Roman"/>
          <w:color w:val="auto"/>
          <w:kern w:val="0"/>
          <w:sz w:val="32"/>
          <w:szCs w:val="32"/>
        </w:rPr>
        <w:t>食品卫生安全、实验室安全、消防安全、校车安全、</w:t>
      </w:r>
      <w:r>
        <w:rPr>
          <w:rFonts w:hint="eastAsia" w:ascii="Times New Roman" w:hAnsi="Times New Roman" w:eastAsia="仿宋_GB2312" w:cs="Times New Roman"/>
          <w:color w:val="auto"/>
          <w:kern w:val="0"/>
          <w:sz w:val="32"/>
          <w:szCs w:val="32"/>
          <w:lang w:val="en-US" w:eastAsia="zh-CN"/>
        </w:rPr>
        <w:t>燃气安全、特种设备安全、</w:t>
      </w:r>
      <w:r>
        <w:rPr>
          <w:rFonts w:hint="eastAsia" w:ascii="Times New Roman" w:hAnsi="Times New Roman" w:eastAsia="仿宋_GB2312" w:cs="Times New Roman"/>
          <w:color w:val="auto"/>
          <w:kern w:val="0"/>
          <w:sz w:val="32"/>
          <w:szCs w:val="32"/>
        </w:rPr>
        <w:t>公共卫生安全及防溺水、防</w:t>
      </w:r>
      <w:r>
        <w:rPr>
          <w:rFonts w:hint="eastAsia" w:ascii="Times New Roman" w:hAnsi="Times New Roman" w:eastAsia="仿宋_GB2312" w:cs="Times New Roman"/>
          <w:color w:val="auto"/>
          <w:kern w:val="0"/>
          <w:sz w:val="32"/>
          <w:szCs w:val="32"/>
          <w:lang w:val="en-US" w:eastAsia="zh-CN"/>
        </w:rPr>
        <w:t>电诈、防轻生</w:t>
      </w:r>
      <w:r>
        <w:rPr>
          <w:rFonts w:hint="eastAsia" w:ascii="Times New Roman" w:hAnsi="Times New Roman" w:eastAsia="仿宋_GB2312" w:cs="Times New Roman"/>
          <w:color w:val="auto"/>
          <w:kern w:val="0"/>
          <w:sz w:val="32"/>
          <w:szCs w:val="32"/>
        </w:rPr>
        <w:t>等专项整治和突发事件应急处置演练</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后勤保卫处、学生工作处、实验室管理办公室</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加强信访工作，有效化解矛盾纠纷，依法保障师生的合法权利</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维护学校的安全稳定</w:t>
      </w:r>
      <w:r>
        <w:rPr>
          <w:rFonts w:hint="eastAsia"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rPr>
        <w:t>确保两个校区不发生影响稳定的责任事</w:t>
      </w:r>
      <w:r>
        <w:rPr>
          <w:rFonts w:hint="eastAsia" w:ascii="Times New Roman" w:hAnsi="Times New Roman" w:eastAsia="仿宋_GB2312" w:cs="Times New Roman"/>
          <w:color w:val="auto"/>
          <w:kern w:val="0"/>
          <w:sz w:val="32"/>
          <w:szCs w:val="32"/>
          <w:highlight w:val="none"/>
        </w:rPr>
        <w:t>故</w:t>
      </w:r>
      <w:r>
        <w:rPr>
          <w:rFonts w:hint="eastAsia"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组织人事处、发展规划处</w:t>
      </w:r>
      <w:r>
        <w:rPr>
          <w:rFonts w:hint="eastAsia"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w:t>
      </w:r>
    </w:p>
    <w:p w14:paraId="661CDA3C">
      <w:pPr>
        <w:rPr>
          <w:rFonts w:hint="eastAsia"/>
          <w:lang w:val="en-US" w:eastAsia="zh-CN"/>
        </w:rPr>
      </w:pPr>
    </w:p>
    <w:tbl>
      <w:tblPr>
        <w:tblStyle w:val="6"/>
        <w:tblpPr w:leftFromText="180" w:rightFromText="180" w:vertAnchor="text" w:horzAnchor="page" w:tblpX="1645" w:tblpY="11709"/>
        <w:tblOverlap w:val="never"/>
        <w:tblW w:w="0" w:type="auto"/>
        <w:jc w:val="center"/>
        <w:tblLayout w:type="fixed"/>
        <w:tblCellMar>
          <w:top w:w="0" w:type="dxa"/>
          <w:left w:w="108" w:type="dxa"/>
          <w:bottom w:w="0" w:type="dxa"/>
          <w:right w:w="108" w:type="dxa"/>
        </w:tblCellMar>
      </w:tblPr>
      <w:tblGrid>
        <w:gridCol w:w="8732"/>
      </w:tblGrid>
      <w:tr w14:paraId="23FF2C64">
        <w:tblPrEx>
          <w:tblCellMar>
            <w:top w:w="0" w:type="dxa"/>
            <w:left w:w="108" w:type="dxa"/>
            <w:bottom w:w="0" w:type="dxa"/>
            <w:right w:w="108" w:type="dxa"/>
          </w:tblCellMar>
        </w:tblPrEx>
        <w:trPr>
          <w:trHeight w:val="510" w:hRule="exact"/>
          <w:jc w:val="center"/>
        </w:trPr>
        <w:tc>
          <w:tcPr>
            <w:tcW w:w="8732" w:type="dxa"/>
            <w:tcBorders>
              <w:top w:val="single" w:color="auto" w:sz="8" w:space="0"/>
              <w:left w:val="nil"/>
              <w:bottom w:val="single" w:color="auto" w:sz="4" w:space="0"/>
              <w:right w:val="nil"/>
            </w:tcBorders>
            <w:noWrap w:val="0"/>
            <w:vAlign w:val="center"/>
          </w:tcPr>
          <w:p w14:paraId="43EC08A4">
            <w:pPr>
              <w:spacing w:line="440" w:lineRule="exact"/>
              <w:ind w:right="210" w:rightChars="100" w:firstLine="280" w:firstLineChars="100"/>
              <w:rPr>
                <w:rFonts w:hint="eastAsia" w:eastAsia="黑体"/>
                <w:b/>
                <w:bCs/>
                <w:color w:val="000000"/>
                <w:sz w:val="28"/>
                <w:szCs w:val="28"/>
              </w:rPr>
            </w:pPr>
            <w:r>
              <w:rPr>
                <w:rFonts w:hint="eastAsia" w:eastAsia="仿宋_GB2312"/>
                <w:color w:val="000000"/>
                <w:sz w:val="28"/>
                <w:szCs w:val="28"/>
              </w:rPr>
              <w:t>抄送：各位校领导。</w:t>
            </w:r>
          </w:p>
        </w:tc>
      </w:tr>
      <w:tr w14:paraId="6D67D911">
        <w:tblPrEx>
          <w:tblCellMar>
            <w:top w:w="0" w:type="dxa"/>
            <w:left w:w="108" w:type="dxa"/>
            <w:bottom w:w="0" w:type="dxa"/>
            <w:right w:w="108" w:type="dxa"/>
          </w:tblCellMar>
        </w:tblPrEx>
        <w:trPr>
          <w:trHeight w:val="510" w:hRule="exact"/>
          <w:jc w:val="center"/>
        </w:trPr>
        <w:tc>
          <w:tcPr>
            <w:tcW w:w="8732" w:type="dxa"/>
            <w:tcBorders>
              <w:top w:val="single" w:color="auto" w:sz="4" w:space="0"/>
              <w:bottom w:val="single" w:color="auto" w:sz="8" w:space="0"/>
            </w:tcBorders>
            <w:noWrap w:val="0"/>
            <w:vAlign w:val="center"/>
          </w:tcPr>
          <w:p w14:paraId="120490C0">
            <w:pPr>
              <w:spacing w:line="440" w:lineRule="exact"/>
              <w:ind w:right="210" w:rightChars="100" w:firstLine="280" w:firstLineChars="100"/>
              <w:rPr>
                <w:rFonts w:eastAsia="仿宋_GB2312"/>
                <w:color w:val="000000"/>
                <w:sz w:val="28"/>
                <w:szCs w:val="28"/>
              </w:rPr>
            </w:pPr>
            <w:r>
              <w:rPr>
                <w:rFonts w:hint="eastAsia" w:eastAsia="仿宋_GB2312"/>
                <w:color w:val="000000"/>
                <w:sz w:val="28"/>
                <w:szCs w:val="28"/>
              </w:rPr>
              <w:t>武汉东湖学院办公室</w:t>
            </w: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24</w:t>
            </w:r>
            <w:r>
              <w:rPr>
                <w:rFonts w:hint="eastAsia" w:eastAsia="仿宋_GB2312"/>
                <w:color w:val="000000"/>
                <w:sz w:val="28"/>
                <w:szCs w:val="28"/>
              </w:rPr>
              <w:t>年</w:t>
            </w:r>
            <w:r>
              <w:rPr>
                <w:rFonts w:hint="eastAsia" w:ascii="Times New Roman" w:hAnsi="Times New Roman" w:eastAsia="仿宋_GB2312" w:cs="Times New Roman"/>
                <w:color w:val="000000"/>
                <w:sz w:val="28"/>
                <w:szCs w:val="28"/>
                <w:lang w:val="en-US" w:eastAsia="zh-CN"/>
              </w:rPr>
              <w:t>3</w:t>
            </w:r>
            <w:r>
              <w:rPr>
                <w:rFonts w:hint="eastAsia" w:eastAsia="仿宋_GB2312"/>
                <w:color w:val="000000"/>
                <w:sz w:val="28"/>
                <w:szCs w:val="28"/>
              </w:rPr>
              <w:t>月</w:t>
            </w:r>
            <w:r>
              <w:rPr>
                <w:rFonts w:hint="eastAsia" w:ascii="Times New Roman" w:hAnsi="Times New Roman" w:eastAsia="仿宋_GB2312" w:cs="Times New Roman"/>
                <w:color w:val="000000"/>
                <w:sz w:val="28"/>
                <w:szCs w:val="28"/>
                <w:lang w:val="en-US" w:eastAsia="zh-CN"/>
              </w:rPr>
              <w:t>6</w:t>
            </w:r>
            <w:r>
              <w:rPr>
                <w:rFonts w:hint="eastAsia" w:eastAsia="仿宋_GB2312"/>
                <w:color w:val="000000"/>
                <w:sz w:val="28"/>
                <w:szCs w:val="28"/>
              </w:rPr>
              <w:t>日印发</w:t>
            </w:r>
          </w:p>
        </w:tc>
      </w:tr>
    </w:tbl>
    <w:p w14:paraId="6EBBDA24">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Times New Roman" w:hAnsi="Times New Roman" w:eastAsia="仿宋_GB2312" w:cs="Times New Roman"/>
          <w:color w:val="auto"/>
          <w:kern w:val="0"/>
          <w:sz w:val="32"/>
          <w:szCs w:val="32"/>
          <w:lang w:val="en-US" w:eastAsia="zh-CN"/>
        </w:rPr>
      </w:pPr>
    </w:p>
    <w:sectPr>
      <w:footerReference r:id="rId4" w:type="default"/>
      <w:pgSz w:w="11906" w:h="16838"/>
      <w:pgMar w:top="2098"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BCB1A81-C7EA-437B-8D9F-1D9C8ECFD89D}"/>
  </w:font>
  <w:font w:name="黑体">
    <w:panose1 w:val="02010609060101010101"/>
    <w:charset w:val="86"/>
    <w:family w:val="auto"/>
    <w:pitch w:val="default"/>
    <w:sig w:usb0="800002BF" w:usb1="38CF7CFA" w:usb2="00000016" w:usb3="00000000" w:csb0="00040001" w:csb1="00000000"/>
    <w:embedRegular r:id="rId2" w:fontKey="{D7764D77-F5F3-4E0E-992F-D4AE9478E6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3" w:fontKey="{07F97A24-C7DB-453D-BC45-876E15B68E0A}"/>
  </w:font>
  <w:font w:name="仿宋_GB2312">
    <w:panose1 w:val="02010609030101010101"/>
    <w:charset w:val="86"/>
    <w:family w:val="modern"/>
    <w:pitch w:val="default"/>
    <w:sig w:usb0="00000001" w:usb1="080E0000" w:usb2="00000000" w:usb3="00000000" w:csb0="00040000" w:csb1="00000000"/>
    <w:embedRegular r:id="rId4" w:fontKey="{8C0A160F-F06A-401F-BEC9-8233C446C223}"/>
  </w:font>
  <w:font w:name="华文中宋">
    <w:panose1 w:val="02010600040101010101"/>
    <w:charset w:val="86"/>
    <w:family w:val="auto"/>
    <w:pitch w:val="default"/>
    <w:sig w:usb0="00000287" w:usb1="080F0000" w:usb2="00000000" w:usb3="00000000" w:csb0="0004009F" w:csb1="DFD70000"/>
    <w:embedRegular r:id="rId5" w:fontKey="{4CFEE9E0-FFD3-4621-B4E7-89F65E62D669}"/>
  </w:font>
  <w:font w:name="方正楷体_GB2312">
    <w:panose1 w:val="02000000000000000000"/>
    <w:charset w:val="86"/>
    <w:family w:val="auto"/>
    <w:pitch w:val="default"/>
    <w:sig w:usb0="A00002BF" w:usb1="184F6CFA" w:usb2="00000012" w:usb3="00000000" w:csb0="00040001" w:csb1="00000000"/>
    <w:embedRegular r:id="rId6" w:fontKey="{4631E16A-FCE8-40E4-BFB7-07804C10E646}"/>
  </w:font>
  <w:font w:name="楷体_GB2312">
    <w:panose1 w:val="02010609030101010101"/>
    <w:charset w:val="86"/>
    <w:family w:val="auto"/>
    <w:pitch w:val="default"/>
    <w:sig w:usb0="00000001" w:usb1="080E0000" w:usb2="00000000" w:usb3="00000000" w:csb0="00040000" w:csb1="00000000"/>
    <w:embedRegular r:id="rId7" w:fontKey="{70E2A937-31AF-4F73-BBAE-97894C9F21A4}"/>
  </w:font>
  <w:font w:name="等线">
    <w:altName w:val="Arial Unicode MS"/>
    <w:panose1 w:val="00000000000000000000"/>
    <w:charset w:val="00"/>
    <w:family w:val="auto"/>
    <w:pitch w:val="default"/>
    <w:sig w:usb0="00000000" w:usb1="00000000" w:usb2="00000000" w:usb3="00000000" w:csb0="00000000" w:csb1="00000000"/>
    <w:embedRegular r:id="rId8" w:fontKey="{97A15D1C-BCB4-41D2-9E35-5CAA21876BEC}"/>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DD7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79700">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279700">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p w14:paraId="036B458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EB21">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BD8A">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B5BD8A">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p w14:paraId="7CF6224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iMmU1NTMxN2NiYjdlMDFmODk0NjMwMjk0MTBjNTQifQ=="/>
  </w:docVars>
  <w:rsids>
    <w:rsidRoot w:val="00270DC2"/>
    <w:rsid w:val="0001451C"/>
    <w:rsid w:val="0001737E"/>
    <w:rsid w:val="00040D38"/>
    <w:rsid w:val="000421EE"/>
    <w:rsid w:val="00044EDC"/>
    <w:rsid w:val="000533D4"/>
    <w:rsid w:val="00055E1D"/>
    <w:rsid w:val="000628CD"/>
    <w:rsid w:val="00084A68"/>
    <w:rsid w:val="0009328D"/>
    <w:rsid w:val="00095F72"/>
    <w:rsid w:val="00096963"/>
    <w:rsid w:val="000A0265"/>
    <w:rsid w:val="000A260B"/>
    <w:rsid w:val="000A5B48"/>
    <w:rsid w:val="000B11C0"/>
    <w:rsid w:val="000E0BDE"/>
    <w:rsid w:val="000F5DC7"/>
    <w:rsid w:val="001027BD"/>
    <w:rsid w:val="00124F5D"/>
    <w:rsid w:val="00125DF8"/>
    <w:rsid w:val="001308C5"/>
    <w:rsid w:val="00130E95"/>
    <w:rsid w:val="00152626"/>
    <w:rsid w:val="001854A2"/>
    <w:rsid w:val="00197AFF"/>
    <w:rsid w:val="001D449B"/>
    <w:rsid w:val="001D5084"/>
    <w:rsid w:val="001F3D21"/>
    <w:rsid w:val="0020375C"/>
    <w:rsid w:val="002044E5"/>
    <w:rsid w:val="00221E9E"/>
    <w:rsid w:val="00223206"/>
    <w:rsid w:val="00226E0A"/>
    <w:rsid w:val="00234EAD"/>
    <w:rsid w:val="0025389A"/>
    <w:rsid w:val="00270DC2"/>
    <w:rsid w:val="00276330"/>
    <w:rsid w:val="00276C9C"/>
    <w:rsid w:val="0028591C"/>
    <w:rsid w:val="00292D44"/>
    <w:rsid w:val="00297BDF"/>
    <w:rsid w:val="002A53B6"/>
    <w:rsid w:val="002B26E9"/>
    <w:rsid w:val="002C088F"/>
    <w:rsid w:val="002C3916"/>
    <w:rsid w:val="002D742B"/>
    <w:rsid w:val="002E3F09"/>
    <w:rsid w:val="003027DC"/>
    <w:rsid w:val="0030777E"/>
    <w:rsid w:val="00315D48"/>
    <w:rsid w:val="0032036F"/>
    <w:rsid w:val="00321651"/>
    <w:rsid w:val="00346964"/>
    <w:rsid w:val="0035422C"/>
    <w:rsid w:val="00357512"/>
    <w:rsid w:val="003625E9"/>
    <w:rsid w:val="0036470F"/>
    <w:rsid w:val="00371228"/>
    <w:rsid w:val="0037740E"/>
    <w:rsid w:val="0039452A"/>
    <w:rsid w:val="00394738"/>
    <w:rsid w:val="003D5625"/>
    <w:rsid w:val="003E1928"/>
    <w:rsid w:val="003E32C0"/>
    <w:rsid w:val="003F417C"/>
    <w:rsid w:val="00414BA7"/>
    <w:rsid w:val="00422335"/>
    <w:rsid w:val="004272DC"/>
    <w:rsid w:val="00431C80"/>
    <w:rsid w:val="00435CD2"/>
    <w:rsid w:val="00447754"/>
    <w:rsid w:val="00475F1B"/>
    <w:rsid w:val="00482E15"/>
    <w:rsid w:val="00486F44"/>
    <w:rsid w:val="00496FB5"/>
    <w:rsid w:val="004A1352"/>
    <w:rsid w:val="004A5579"/>
    <w:rsid w:val="004C6F15"/>
    <w:rsid w:val="004F094F"/>
    <w:rsid w:val="004F3CF2"/>
    <w:rsid w:val="005137DD"/>
    <w:rsid w:val="0051544E"/>
    <w:rsid w:val="005308EC"/>
    <w:rsid w:val="00535E42"/>
    <w:rsid w:val="00541EB7"/>
    <w:rsid w:val="005530F6"/>
    <w:rsid w:val="0056658E"/>
    <w:rsid w:val="00567E8F"/>
    <w:rsid w:val="0058300C"/>
    <w:rsid w:val="00596143"/>
    <w:rsid w:val="005B1B2D"/>
    <w:rsid w:val="005B2D3E"/>
    <w:rsid w:val="005C2029"/>
    <w:rsid w:val="005E61D3"/>
    <w:rsid w:val="00604CF6"/>
    <w:rsid w:val="006244AE"/>
    <w:rsid w:val="00641AEF"/>
    <w:rsid w:val="006428BC"/>
    <w:rsid w:val="0065026B"/>
    <w:rsid w:val="00652FB6"/>
    <w:rsid w:val="006540BD"/>
    <w:rsid w:val="0067274D"/>
    <w:rsid w:val="0067569F"/>
    <w:rsid w:val="00682877"/>
    <w:rsid w:val="00695005"/>
    <w:rsid w:val="006B7C6D"/>
    <w:rsid w:val="006C2D52"/>
    <w:rsid w:val="006C65FA"/>
    <w:rsid w:val="006C7D67"/>
    <w:rsid w:val="006D20FF"/>
    <w:rsid w:val="006E04BE"/>
    <w:rsid w:val="006E5CE8"/>
    <w:rsid w:val="006F464C"/>
    <w:rsid w:val="006F6A98"/>
    <w:rsid w:val="0071284A"/>
    <w:rsid w:val="00712CF2"/>
    <w:rsid w:val="007335FD"/>
    <w:rsid w:val="007406DC"/>
    <w:rsid w:val="00762990"/>
    <w:rsid w:val="0078368A"/>
    <w:rsid w:val="00784444"/>
    <w:rsid w:val="007A1F2B"/>
    <w:rsid w:val="007B091A"/>
    <w:rsid w:val="007B4129"/>
    <w:rsid w:val="007D02BA"/>
    <w:rsid w:val="007D4658"/>
    <w:rsid w:val="007D52B4"/>
    <w:rsid w:val="00806709"/>
    <w:rsid w:val="00821DE2"/>
    <w:rsid w:val="008270C0"/>
    <w:rsid w:val="00836CFC"/>
    <w:rsid w:val="0083761A"/>
    <w:rsid w:val="00840424"/>
    <w:rsid w:val="008405E9"/>
    <w:rsid w:val="00841403"/>
    <w:rsid w:val="00845027"/>
    <w:rsid w:val="00846A41"/>
    <w:rsid w:val="00852D56"/>
    <w:rsid w:val="00864375"/>
    <w:rsid w:val="0086768E"/>
    <w:rsid w:val="0087529C"/>
    <w:rsid w:val="008A4CCC"/>
    <w:rsid w:val="008C186A"/>
    <w:rsid w:val="008D1811"/>
    <w:rsid w:val="008E75C9"/>
    <w:rsid w:val="00904CB7"/>
    <w:rsid w:val="00925AF0"/>
    <w:rsid w:val="00936254"/>
    <w:rsid w:val="0094001F"/>
    <w:rsid w:val="0094288F"/>
    <w:rsid w:val="00945EE7"/>
    <w:rsid w:val="009562E2"/>
    <w:rsid w:val="00957BA8"/>
    <w:rsid w:val="00960A65"/>
    <w:rsid w:val="00963151"/>
    <w:rsid w:val="009735A8"/>
    <w:rsid w:val="009B1B1A"/>
    <w:rsid w:val="009B1D3C"/>
    <w:rsid w:val="009D3024"/>
    <w:rsid w:val="009E4CE3"/>
    <w:rsid w:val="009F06DC"/>
    <w:rsid w:val="00A00DA6"/>
    <w:rsid w:val="00A109D4"/>
    <w:rsid w:val="00A333EB"/>
    <w:rsid w:val="00A449B9"/>
    <w:rsid w:val="00A53272"/>
    <w:rsid w:val="00A7075F"/>
    <w:rsid w:val="00A7649B"/>
    <w:rsid w:val="00AA0B2B"/>
    <w:rsid w:val="00AA5285"/>
    <w:rsid w:val="00AB26EF"/>
    <w:rsid w:val="00AC0DD7"/>
    <w:rsid w:val="00AC5286"/>
    <w:rsid w:val="00AD7CDD"/>
    <w:rsid w:val="00AE0A98"/>
    <w:rsid w:val="00AE0C8B"/>
    <w:rsid w:val="00AE3CC3"/>
    <w:rsid w:val="00AE4D62"/>
    <w:rsid w:val="00AF3847"/>
    <w:rsid w:val="00AF7C6B"/>
    <w:rsid w:val="00B2271A"/>
    <w:rsid w:val="00B229CF"/>
    <w:rsid w:val="00B27F02"/>
    <w:rsid w:val="00B3518B"/>
    <w:rsid w:val="00B36CD6"/>
    <w:rsid w:val="00B37682"/>
    <w:rsid w:val="00B52EE3"/>
    <w:rsid w:val="00B74ADA"/>
    <w:rsid w:val="00B8480B"/>
    <w:rsid w:val="00B93E7F"/>
    <w:rsid w:val="00BA39AD"/>
    <w:rsid w:val="00BA7D82"/>
    <w:rsid w:val="00BB170B"/>
    <w:rsid w:val="00BC0B3D"/>
    <w:rsid w:val="00BC1BA4"/>
    <w:rsid w:val="00BC5D6F"/>
    <w:rsid w:val="00BC6502"/>
    <w:rsid w:val="00BD729B"/>
    <w:rsid w:val="00BE091C"/>
    <w:rsid w:val="00BF421B"/>
    <w:rsid w:val="00C05B69"/>
    <w:rsid w:val="00C116B1"/>
    <w:rsid w:val="00C14223"/>
    <w:rsid w:val="00C1790F"/>
    <w:rsid w:val="00C240E5"/>
    <w:rsid w:val="00C31FF6"/>
    <w:rsid w:val="00C332DD"/>
    <w:rsid w:val="00C47881"/>
    <w:rsid w:val="00C547A0"/>
    <w:rsid w:val="00C60C76"/>
    <w:rsid w:val="00C715D9"/>
    <w:rsid w:val="00C834BB"/>
    <w:rsid w:val="00C8384A"/>
    <w:rsid w:val="00C87970"/>
    <w:rsid w:val="00C95040"/>
    <w:rsid w:val="00CA2656"/>
    <w:rsid w:val="00CB4655"/>
    <w:rsid w:val="00CB6698"/>
    <w:rsid w:val="00CC58AD"/>
    <w:rsid w:val="00CD7631"/>
    <w:rsid w:val="00CE202C"/>
    <w:rsid w:val="00CE5EEF"/>
    <w:rsid w:val="00CE7E65"/>
    <w:rsid w:val="00CF2439"/>
    <w:rsid w:val="00CF2944"/>
    <w:rsid w:val="00CF3622"/>
    <w:rsid w:val="00D11A49"/>
    <w:rsid w:val="00D16D6F"/>
    <w:rsid w:val="00D22CA9"/>
    <w:rsid w:val="00D27660"/>
    <w:rsid w:val="00D32B7C"/>
    <w:rsid w:val="00D4627A"/>
    <w:rsid w:val="00D813B2"/>
    <w:rsid w:val="00D85035"/>
    <w:rsid w:val="00DB6AE3"/>
    <w:rsid w:val="00DC7A01"/>
    <w:rsid w:val="00DD2725"/>
    <w:rsid w:val="00DD3542"/>
    <w:rsid w:val="00DD62B8"/>
    <w:rsid w:val="00DD6C36"/>
    <w:rsid w:val="00DE0F82"/>
    <w:rsid w:val="00E0665C"/>
    <w:rsid w:val="00E23D95"/>
    <w:rsid w:val="00E26393"/>
    <w:rsid w:val="00E2683D"/>
    <w:rsid w:val="00E44DB4"/>
    <w:rsid w:val="00E47634"/>
    <w:rsid w:val="00E50C9D"/>
    <w:rsid w:val="00E52589"/>
    <w:rsid w:val="00E54001"/>
    <w:rsid w:val="00E805B7"/>
    <w:rsid w:val="00E81D37"/>
    <w:rsid w:val="00E85CE3"/>
    <w:rsid w:val="00EA559A"/>
    <w:rsid w:val="00EA7F29"/>
    <w:rsid w:val="00EC7EF7"/>
    <w:rsid w:val="00F04AB1"/>
    <w:rsid w:val="00F17031"/>
    <w:rsid w:val="00F47C4B"/>
    <w:rsid w:val="00F519F0"/>
    <w:rsid w:val="00F60E60"/>
    <w:rsid w:val="00F61B2B"/>
    <w:rsid w:val="00FB4269"/>
    <w:rsid w:val="00FD7D67"/>
    <w:rsid w:val="00FF044D"/>
    <w:rsid w:val="00FF07F9"/>
    <w:rsid w:val="011B5014"/>
    <w:rsid w:val="0126272D"/>
    <w:rsid w:val="013B0175"/>
    <w:rsid w:val="013B4D07"/>
    <w:rsid w:val="01675739"/>
    <w:rsid w:val="01A93385"/>
    <w:rsid w:val="01BD5C92"/>
    <w:rsid w:val="01EA3656"/>
    <w:rsid w:val="01F14768"/>
    <w:rsid w:val="020D695D"/>
    <w:rsid w:val="021F6D1A"/>
    <w:rsid w:val="0249725E"/>
    <w:rsid w:val="028450B9"/>
    <w:rsid w:val="02AE096A"/>
    <w:rsid w:val="02D964ED"/>
    <w:rsid w:val="034673C1"/>
    <w:rsid w:val="03901725"/>
    <w:rsid w:val="039E2A89"/>
    <w:rsid w:val="03A138AF"/>
    <w:rsid w:val="03B51C54"/>
    <w:rsid w:val="03B64756"/>
    <w:rsid w:val="03D21097"/>
    <w:rsid w:val="0441752A"/>
    <w:rsid w:val="045C17D4"/>
    <w:rsid w:val="048211A2"/>
    <w:rsid w:val="04B0425C"/>
    <w:rsid w:val="05337BEF"/>
    <w:rsid w:val="053F077B"/>
    <w:rsid w:val="0596361A"/>
    <w:rsid w:val="05C53CA0"/>
    <w:rsid w:val="05CB745D"/>
    <w:rsid w:val="064C13A1"/>
    <w:rsid w:val="06782196"/>
    <w:rsid w:val="068233B3"/>
    <w:rsid w:val="069273C8"/>
    <w:rsid w:val="06DA4CEB"/>
    <w:rsid w:val="07033C31"/>
    <w:rsid w:val="070806FF"/>
    <w:rsid w:val="074F739B"/>
    <w:rsid w:val="078C00B6"/>
    <w:rsid w:val="07E64BEC"/>
    <w:rsid w:val="08405138"/>
    <w:rsid w:val="085D31E3"/>
    <w:rsid w:val="08AC6884"/>
    <w:rsid w:val="092910C6"/>
    <w:rsid w:val="097201A0"/>
    <w:rsid w:val="09C22B4A"/>
    <w:rsid w:val="09C40043"/>
    <w:rsid w:val="09DF0839"/>
    <w:rsid w:val="09E77B5F"/>
    <w:rsid w:val="09FC4E8C"/>
    <w:rsid w:val="0A3259D4"/>
    <w:rsid w:val="0A624A0A"/>
    <w:rsid w:val="0ACF6197"/>
    <w:rsid w:val="0B6C078D"/>
    <w:rsid w:val="0B963C87"/>
    <w:rsid w:val="0BB27EF8"/>
    <w:rsid w:val="0BBD2B5E"/>
    <w:rsid w:val="0BDB4C57"/>
    <w:rsid w:val="0C1D7F1C"/>
    <w:rsid w:val="0C3C5A14"/>
    <w:rsid w:val="0C3F5BF4"/>
    <w:rsid w:val="0C622744"/>
    <w:rsid w:val="0C7E57B4"/>
    <w:rsid w:val="0D321028"/>
    <w:rsid w:val="0DB55A7E"/>
    <w:rsid w:val="0DE55949"/>
    <w:rsid w:val="0E46040F"/>
    <w:rsid w:val="0E682AF0"/>
    <w:rsid w:val="0E7B66BB"/>
    <w:rsid w:val="0E8C6D58"/>
    <w:rsid w:val="0ECD209C"/>
    <w:rsid w:val="0F154DF8"/>
    <w:rsid w:val="0F76748F"/>
    <w:rsid w:val="0F7C638D"/>
    <w:rsid w:val="0F8A6A96"/>
    <w:rsid w:val="0FA22CFE"/>
    <w:rsid w:val="0FA517EC"/>
    <w:rsid w:val="0FAA65A1"/>
    <w:rsid w:val="0FDF1B6E"/>
    <w:rsid w:val="10256837"/>
    <w:rsid w:val="104E46F0"/>
    <w:rsid w:val="10797237"/>
    <w:rsid w:val="109E0723"/>
    <w:rsid w:val="111C23D3"/>
    <w:rsid w:val="11231300"/>
    <w:rsid w:val="117E4DD1"/>
    <w:rsid w:val="11B379CA"/>
    <w:rsid w:val="11CA5479"/>
    <w:rsid w:val="11F05094"/>
    <w:rsid w:val="11FB55C2"/>
    <w:rsid w:val="1201211A"/>
    <w:rsid w:val="122C4F2A"/>
    <w:rsid w:val="125C296C"/>
    <w:rsid w:val="12672790"/>
    <w:rsid w:val="12C12BD5"/>
    <w:rsid w:val="12C14EC5"/>
    <w:rsid w:val="12CA4061"/>
    <w:rsid w:val="1322640B"/>
    <w:rsid w:val="133D3E1D"/>
    <w:rsid w:val="1360081F"/>
    <w:rsid w:val="1367003C"/>
    <w:rsid w:val="143C191F"/>
    <w:rsid w:val="1457167D"/>
    <w:rsid w:val="148B7ADB"/>
    <w:rsid w:val="14E259CB"/>
    <w:rsid w:val="150470FF"/>
    <w:rsid w:val="1534372C"/>
    <w:rsid w:val="158B30BD"/>
    <w:rsid w:val="15AC6EFC"/>
    <w:rsid w:val="15D02F91"/>
    <w:rsid w:val="15F53477"/>
    <w:rsid w:val="167E55A7"/>
    <w:rsid w:val="16850C87"/>
    <w:rsid w:val="16A3577A"/>
    <w:rsid w:val="16BE7F12"/>
    <w:rsid w:val="16CD7BCF"/>
    <w:rsid w:val="16EA10E2"/>
    <w:rsid w:val="176848CE"/>
    <w:rsid w:val="178A0FCC"/>
    <w:rsid w:val="17E92EF4"/>
    <w:rsid w:val="17EF7DDE"/>
    <w:rsid w:val="18610CDC"/>
    <w:rsid w:val="189E6E29"/>
    <w:rsid w:val="18AB5A26"/>
    <w:rsid w:val="18C31E74"/>
    <w:rsid w:val="18D17CFD"/>
    <w:rsid w:val="18F25DD8"/>
    <w:rsid w:val="1989589B"/>
    <w:rsid w:val="1A323A0D"/>
    <w:rsid w:val="1A4F3377"/>
    <w:rsid w:val="1A877C91"/>
    <w:rsid w:val="1AA84175"/>
    <w:rsid w:val="1AAE2EB7"/>
    <w:rsid w:val="1AC53CCB"/>
    <w:rsid w:val="1ACD56A5"/>
    <w:rsid w:val="1AD53D2B"/>
    <w:rsid w:val="1AE87493"/>
    <w:rsid w:val="1B101769"/>
    <w:rsid w:val="1B252495"/>
    <w:rsid w:val="1B4C5D3C"/>
    <w:rsid w:val="1B595EB1"/>
    <w:rsid w:val="1B7A3E63"/>
    <w:rsid w:val="1B8B73CD"/>
    <w:rsid w:val="1C2910A8"/>
    <w:rsid w:val="1C592702"/>
    <w:rsid w:val="1C8F6F67"/>
    <w:rsid w:val="1CA7299F"/>
    <w:rsid w:val="1CAB4D40"/>
    <w:rsid w:val="1CBB153A"/>
    <w:rsid w:val="1DAC1C83"/>
    <w:rsid w:val="1DAF5B89"/>
    <w:rsid w:val="1DE47A38"/>
    <w:rsid w:val="1DF62D58"/>
    <w:rsid w:val="1E2D1AB0"/>
    <w:rsid w:val="1E5D1F46"/>
    <w:rsid w:val="1E8C690E"/>
    <w:rsid w:val="1E8F7772"/>
    <w:rsid w:val="1EC16D10"/>
    <w:rsid w:val="1F5570C1"/>
    <w:rsid w:val="1F5C4F99"/>
    <w:rsid w:val="1F5D0FEB"/>
    <w:rsid w:val="1FD43460"/>
    <w:rsid w:val="1FF91BAC"/>
    <w:rsid w:val="20350095"/>
    <w:rsid w:val="207417C9"/>
    <w:rsid w:val="208A354C"/>
    <w:rsid w:val="2090568D"/>
    <w:rsid w:val="211C167B"/>
    <w:rsid w:val="219D4601"/>
    <w:rsid w:val="21E7332D"/>
    <w:rsid w:val="21FC0F06"/>
    <w:rsid w:val="225E6F94"/>
    <w:rsid w:val="22633B1F"/>
    <w:rsid w:val="22A92310"/>
    <w:rsid w:val="22CF4AF0"/>
    <w:rsid w:val="22DA4756"/>
    <w:rsid w:val="22E13E80"/>
    <w:rsid w:val="22E8207E"/>
    <w:rsid w:val="235E10EF"/>
    <w:rsid w:val="236128C1"/>
    <w:rsid w:val="23B24AE2"/>
    <w:rsid w:val="23D65923"/>
    <w:rsid w:val="23ED5A9C"/>
    <w:rsid w:val="23F13F0C"/>
    <w:rsid w:val="2436544D"/>
    <w:rsid w:val="24457B1A"/>
    <w:rsid w:val="247E501E"/>
    <w:rsid w:val="24FE1F66"/>
    <w:rsid w:val="25643BBA"/>
    <w:rsid w:val="25E27064"/>
    <w:rsid w:val="25F1784D"/>
    <w:rsid w:val="25F81088"/>
    <w:rsid w:val="263D712B"/>
    <w:rsid w:val="26587026"/>
    <w:rsid w:val="26AF5308"/>
    <w:rsid w:val="26CA56A8"/>
    <w:rsid w:val="26D56488"/>
    <w:rsid w:val="26F41423"/>
    <w:rsid w:val="27167136"/>
    <w:rsid w:val="272034C0"/>
    <w:rsid w:val="27600A66"/>
    <w:rsid w:val="27720924"/>
    <w:rsid w:val="27803804"/>
    <w:rsid w:val="27B13BC5"/>
    <w:rsid w:val="28402E3A"/>
    <w:rsid w:val="2895749D"/>
    <w:rsid w:val="289940F2"/>
    <w:rsid w:val="28A569C3"/>
    <w:rsid w:val="28C02FA4"/>
    <w:rsid w:val="29222783"/>
    <w:rsid w:val="29424212"/>
    <w:rsid w:val="297F5DA9"/>
    <w:rsid w:val="29835908"/>
    <w:rsid w:val="29AC3E9C"/>
    <w:rsid w:val="29E7398A"/>
    <w:rsid w:val="29EF7E89"/>
    <w:rsid w:val="2A295A79"/>
    <w:rsid w:val="2A3176C5"/>
    <w:rsid w:val="2A4E1A2D"/>
    <w:rsid w:val="2A5E0BDD"/>
    <w:rsid w:val="2A7E161A"/>
    <w:rsid w:val="2ABA19BE"/>
    <w:rsid w:val="2AC241B6"/>
    <w:rsid w:val="2B3A0595"/>
    <w:rsid w:val="2B84085A"/>
    <w:rsid w:val="2B9D1E28"/>
    <w:rsid w:val="2BF67536"/>
    <w:rsid w:val="2BFB3415"/>
    <w:rsid w:val="2BFD43B0"/>
    <w:rsid w:val="2C385B7D"/>
    <w:rsid w:val="2C412EA7"/>
    <w:rsid w:val="2C425EFD"/>
    <w:rsid w:val="2C46307E"/>
    <w:rsid w:val="2C506820"/>
    <w:rsid w:val="2C950AFD"/>
    <w:rsid w:val="2CBB3430"/>
    <w:rsid w:val="2CC15D95"/>
    <w:rsid w:val="2CD14EB0"/>
    <w:rsid w:val="2D3E2CF0"/>
    <w:rsid w:val="2D3E73E6"/>
    <w:rsid w:val="2DB65266"/>
    <w:rsid w:val="2DCC67A0"/>
    <w:rsid w:val="2DE54CDD"/>
    <w:rsid w:val="2E080494"/>
    <w:rsid w:val="2E294A2D"/>
    <w:rsid w:val="2E2A1718"/>
    <w:rsid w:val="2E426A57"/>
    <w:rsid w:val="2E491A5F"/>
    <w:rsid w:val="2E5264D8"/>
    <w:rsid w:val="2E6C696C"/>
    <w:rsid w:val="2E8A1607"/>
    <w:rsid w:val="2E923D01"/>
    <w:rsid w:val="2EAA18E1"/>
    <w:rsid w:val="2ED232D7"/>
    <w:rsid w:val="2ED2796D"/>
    <w:rsid w:val="2ED35883"/>
    <w:rsid w:val="2ED46639"/>
    <w:rsid w:val="2F30159D"/>
    <w:rsid w:val="2F3527BA"/>
    <w:rsid w:val="2F863BCB"/>
    <w:rsid w:val="2FF827D3"/>
    <w:rsid w:val="2FFB5502"/>
    <w:rsid w:val="305B4150"/>
    <w:rsid w:val="309A75D5"/>
    <w:rsid w:val="30BA4FD6"/>
    <w:rsid w:val="30EC4516"/>
    <w:rsid w:val="3107592D"/>
    <w:rsid w:val="3119230B"/>
    <w:rsid w:val="316311C9"/>
    <w:rsid w:val="317137A7"/>
    <w:rsid w:val="32033F95"/>
    <w:rsid w:val="321571FC"/>
    <w:rsid w:val="3242174D"/>
    <w:rsid w:val="32526CEF"/>
    <w:rsid w:val="32A54AC7"/>
    <w:rsid w:val="32C44736"/>
    <w:rsid w:val="332B20C1"/>
    <w:rsid w:val="33385931"/>
    <w:rsid w:val="3351287A"/>
    <w:rsid w:val="33677B8F"/>
    <w:rsid w:val="336F022E"/>
    <w:rsid w:val="33B25639"/>
    <w:rsid w:val="33CD6DCE"/>
    <w:rsid w:val="3423257C"/>
    <w:rsid w:val="342A4220"/>
    <w:rsid w:val="342E1F62"/>
    <w:rsid w:val="344E3CC7"/>
    <w:rsid w:val="346C3AC6"/>
    <w:rsid w:val="34EA5940"/>
    <w:rsid w:val="34FF743C"/>
    <w:rsid w:val="3518149A"/>
    <w:rsid w:val="357A56AB"/>
    <w:rsid w:val="35867372"/>
    <w:rsid w:val="35C160F2"/>
    <w:rsid w:val="36180AC6"/>
    <w:rsid w:val="3664145D"/>
    <w:rsid w:val="36645345"/>
    <w:rsid w:val="368051EC"/>
    <w:rsid w:val="36C4445A"/>
    <w:rsid w:val="36F56D67"/>
    <w:rsid w:val="372063EC"/>
    <w:rsid w:val="37235C81"/>
    <w:rsid w:val="37494562"/>
    <w:rsid w:val="37516682"/>
    <w:rsid w:val="37687AEE"/>
    <w:rsid w:val="3781782D"/>
    <w:rsid w:val="37EA6999"/>
    <w:rsid w:val="37ED0B8E"/>
    <w:rsid w:val="37FF21C2"/>
    <w:rsid w:val="38195A9B"/>
    <w:rsid w:val="38422BA3"/>
    <w:rsid w:val="386626FD"/>
    <w:rsid w:val="38A95B8D"/>
    <w:rsid w:val="38BF587F"/>
    <w:rsid w:val="38EA5B88"/>
    <w:rsid w:val="394437E2"/>
    <w:rsid w:val="39A61C72"/>
    <w:rsid w:val="39A97903"/>
    <w:rsid w:val="39BD1C7D"/>
    <w:rsid w:val="3A00614F"/>
    <w:rsid w:val="3A1676BC"/>
    <w:rsid w:val="3A6363E8"/>
    <w:rsid w:val="3AD15E9A"/>
    <w:rsid w:val="3AF60925"/>
    <w:rsid w:val="3B0C28D2"/>
    <w:rsid w:val="3B1E3C09"/>
    <w:rsid w:val="3B204A3E"/>
    <w:rsid w:val="3B9E7BEB"/>
    <w:rsid w:val="3BA27DFC"/>
    <w:rsid w:val="3BBD56BE"/>
    <w:rsid w:val="3BCA3066"/>
    <w:rsid w:val="3BD5530B"/>
    <w:rsid w:val="3BF20C63"/>
    <w:rsid w:val="3BFB5A63"/>
    <w:rsid w:val="3C063DCE"/>
    <w:rsid w:val="3C0E188B"/>
    <w:rsid w:val="3C45731B"/>
    <w:rsid w:val="3C4F3788"/>
    <w:rsid w:val="3C726F4F"/>
    <w:rsid w:val="3CFC2E9F"/>
    <w:rsid w:val="3D1D1C83"/>
    <w:rsid w:val="3D55507E"/>
    <w:rsid w:val="3D89645B"/>
    <w:rsid w:val="3D9E248F"/>
    <w:rsid w:val="3DBB244A"/>
    <w:rsid w:val="3DFD1AEB"/>
    <w:rsid w:val="3E5E5C8E"/>
    <w:rsid w:val="3EB820B2"/>
    <w:rsid w:val="3ED3381F"/>
    <w:rsid w:val="3EF217DB"/>
    <w:rsid w:val="3EFA2A46"/>
    <w:rsid w:val="3F08699F"/>
    <w:rsid w:val="3F320C59"/>
    <w:rsid w:val="3FBB48C6"/>
    <w:rsid w:val="3FF5297F"/>
    <w:rsid w:val="404F17DA"/>
    <w:rsid w:val="4076327B"/>
    <w:rsid w:val="40C44433"/>
    <w:rsid w:val="410F0FFF"/>
    <w:rsid w:val="411B5B71"/>
    <w:rsid w:val="413F1E5E"/>
    <w:rsid w:val="41581A51"/>
    <w:rsid w:val="416837BF"/>
    <w:rsid w:val="41726A81"/>
    <w:rsid w:val="41951626"/>
    <w:rsid w:val="41A24BAF"/>
    <w:rsid w:val="41DA2A3C"/>
    <w:rsid w:val="4242310C"/>
    <w:rsid w:val="427A6EB0"/>
    <w:rsid w:val="42A12C4A"/>
    <w:rsid w:val="42BB1FE7"/>
    <w:rsid w:val="42DA0782"/>
    <w:rsid w:val="42DF22D1"/>
    <w:rsid w:val="431F2DD9"/>
    <w:rsid w:val="43260013"/>
    <w:rsid w:val="43280FD5"/>
    <w:rsid w:val="432A4FAD"/>
    <w:rsid w:val="43537C47"/>
    <w:rsid w:val="4369334F"/>
    <w:rsid w:val="43823695"/>
    <w:rsid w:val="443543EC"/>
    <w:rsid w:val="44BD4953"/>
    <w:rsid w:val="44CD203F"/>
    <w:rsid w:val="45082896"/>
    <w:rsid w:val="45817B3D"/>
    <w:rsid w:val="458319E2"/>
    <w:rsid w:val="45CD0EAF"/>
    <w:rsid w:val="45D96996"/>
    <w:rsid w:val="464C5BD7"/>
    <w:rsid w:val="46E862E3"/>
    <w:rsid w:val="47080050"/>
    <w:rsid w:val="4751413F"/>
    <w:rsid w:val="47662EDA"/>
    <w:rsid w:val="48013F45"/>
    <w:rsid w:val="48861BFC"/>
    <w:rsid w:val="48AA5EB9"/>
    <w:rsid w:val="48BC68A3"/>
    <w:rsid w:val="48DE14F8"/>
    <w:rsid w:val="48FB0E75"/>
    <w:rsid w:val="491E066C"/>
    <w:rsid w:val="492873DA"/>
    <w:rsid w:val="49C27E92"/>
    <w:rsid w:val="4A5B2F2E"/>
    <w:rsid w:val="4A62690D"/>
    <w:rsid w:val="4A8B5EA1"/>
    <w:rsid w:val="4A910668"/>
    <w:rsid w:val="4A9B157C"/>
    <w:rsid w:val="4AF8077D"/>
    <w:rsid w:val="4B102092"/>
    <w:rsid w:val="4B2C60E0"/>
    <w:rsid w:val="4C0118B3"/>
    <w:rsid w:val="4C0B05A0"/>
    <w:rsid w:val="4C2113BB"/>
    <w:rsid w:val="4C231829"/>
    <w:rsid w:val="4C3B07F2"/>
    <w:rsid w:val="4C417B30"/>
    <w:rsid w:val="4C4F650A"/>
    <w:rsid w:val="4CDF7E46"/>
    <w:rsid w:val="4CE36D98"/>
    <w:rsid w:val="4D4F63F7"/>
    <w:rsid w:val="4D662145"/>
    <w:rsid w:val="4D73058E"/>
    <w:rsid w:val="4D81503B"/>
    <w:rsid w:val="4DEE6977"/>
    <w:rsid w:val="4E044C62"/>
    <w:rsid w:val="4E10678A"/>
    <w:rsid w:val="4E817324"/>
    <w:rsid w:val="4EAD5D22"/>
    <w:rsid w:val="4EC07418"/>
    <w:rsid w:val="4EEF4538"/>
    <w:rsid w:val="4F300989"/>
    <w:rsid w:val="4F400944"/>
    <w:rsid w:val="4F756DB0"/>
    <w:rsid w:val="4F7E6541"/>
    <w:rsid w:val="4FC860CA"/>
    <w:rsid w:val="502B5B6C"/>
    <w:rsid w:val="504B3052"/>
    <w:rsid w:val="50E1246C"/>
    <w:rsid w:val="50E538E2"/>
    <w:rsid w:val="50F1535F"/>
    <w:rsid w:val="51330760"/>
    <w:rsid w:val="51611055"/>
    <w:rsid w:val="520A0ED2"/>
    <w:rsid w:val="520D2BC6"/>
    <w:rsid w:val="52374AE6"/>
    <w:rsid w:val="52417BEB"/>
    <w:rsid w:val="528E4168"/>
    <w:rsid w:val="529A63D6"/>
    <w:rsid w:val="52FB78BA"/>
    <w:rsid w:val="52FE2EF1"/>
    <w:rsid w:val="53C16CB6"/>
    <w:rsid w:val="53CE47CF"/>
    <w:rsid w:val="541854A3"/>
    <w:rsid w:val="542A20C6"/>
    <w:rsid w:val="54393735"/>
    <w:rsid w:val="545E7C69"/>
    <w:rsid w:val="547001E4"/>
    <w:rsid w:val="54722FC7"/>
    <w:rsid w:val="547A670F"/>
    <w:rsid w:val="54A10BC4"/>
    <w:rsid w:val="54AA176A"/>
    <w:rsid w:val="54E46D1A"/>
    <w:rsid w:val="54FB1595"/>
    <w:rsid w:val="552732A7"/>
    <w:rsid w:val="552F43EE"/>
    <w:rsid w:val="557A2FB2"/>
    <w:rsid w:val="55990DAE"/>
    <w:rsid w:val="55B64715"/>
    <w:rsid w:val="55B90637"/>
    <w:rsid w:val="55D431D6"/>
    <w:rsid w:val="55F22F18"/>
    <w:rsid w:val="561B0EC2"/>
    <w:rsid w:val="563919A1"/>
    <w:rsid w:val="56821842"/>
    <w:rsid w:val="56D1527E"/>
    <w:rsid w:val="56D57BC4"/>
    <w:rsid w:val="56DD64BE"/>
    <w:rsid w:val="571F49E7"/>
    <w:rsid w:val="57550741"/>
    <w:rsid w:val="577F37CE"/>
    <w:rsid w:val="578C5A5B"/>
    <w:rsid w:val="57B07204"/>
    <w:rsid w:val="57DA6289"/>
    <w:rsid w:val="581D1F69"/>
    <w:rsid w:val="5828145E"/>
    <w:rsid w:val="583A6C98"/>
    <w:rsid w:val="584F30EB"/>
    <w:rsid w:val="585F0CDC"/>
    <w:rsid w:val="5864558F"/>
    <w:rsid w:val="586B4374"/>
    <w:rsid w:val="589A10C5"/>
    <w:rsid w:val="58D02D39"/>
    <w:rsid w:val="58F3205D"/>
    <w:rsid w:val="590A4FC9"/>
    <w:rsid w:val="5927572B"/>
    <w:rsid w:val="595304D5"/>
    <w:rsid w:val="595D0B9C"/>
    <w:rsid w:val="599D6BA5"/>
    <w:rsid w:val="5A30283A"/>
    <w:rsid w:val="5A3103F0"/>
    <w:rsid w:val="5A3A490E"/>
    <w:rsid w:val="5A4B3B80"/>
    <w:rsid w:val="5B1F2E9F"/>
    <w:rsid w:val="5B412866"/>
    <w:rsid w:val="5B4B0FF2"/>
    <w:rsid w:val="5B516D0E"/>
    <w:rsid w:val="5B836F19"/>
    <w:rsid w:val="5B985CAF"/>
    <w:rsid w:val="5BA8127B"/>
    <w:rsid w:val="5BDD1926"/>
    <w:rsid w:val="5BF1249F"/>
    <w:rsid w:val="5C264C6F"/>
    <w:rsid w:val="5C423F4D"/>
    <w:rsid w:val="5CFC40FC"/>
    <w:rsid w:val="5D2D2508"/>
    <w:rsid w:val="5D55249C"/>
    <w:rsid w:val="5D841C1D"/>
    <w:rsid w:val="5D940975"/>
    <w:rsid w:val="5DFE5C52"/>
    <w:rsid w:val="5E0504CB"/>
    <w:rsid w:val="5E3F1056"/>
    <w:rsid w:val="5E5A7C48"/>
    <w:rsid w:val="5E5E3A95"/>
    <w:rsid w:val="5E694988"/>
    <w:rsid w:val="5E91491A"/>
    <w:rsid w:val="5EB427B5"/>
    <w:rsid w:val="5EE65064"/>
    <w:rsid w:val="5F316783"/>
    <w:rsid w:val="5FA77E3C"/>
    <w:rsid w:val="5FAE76AB"/>
    <w:rsid w:val="5FD7231D"/>
    <w:rsid w:val="5FDC3FAE"/>
    <w:rsid w:val="60081AB8"/>
    <w:rsid w:val="601F7A80"/>
    <w:rsid w:val="606050CD"/>
    <w:rsid w:val="607B093E"/>
    <w:rsid w:val="608D6D63"/>
    <w:rsid w:val="60C4431C"/>
    <w:rsid w:val="60CD22FC"/>
    <w:rsid w:val="60E96274"/>
    <w:rsid w:val="611D543B"/>
    <w:rsid w:val="612367C4"/>
    <w:rsid w:val="61625587"/>
    <w:rsid w:val="618E553F"/>
    <w:rsid w:val="621C290A"/>
    <w:rsid w:val="621E7841"/>
    <w:rsid w:val="622D1EC0"/>
    <w:rsid w:val="6265424C"/>
    <w:rsid w:val="62EC4C13"/>
    <w:rsid w:val="63016A49"/>
    <w:rsid w:val="63185A08"/>
    <w:rsid w:val="632802DA"/>
    <w:rsid w:val="63561F8D"/>
    <w:rsid w:val="63F26259"/>
    <w:rsid w:val="64263D0B"/>
    <w:rsid w:val="643342E4"/>
    <w:rsid w:val="64485E79"/>
    <w:rsid w:val="645A4F2A"/>
    <w:rsid w:val="646946BF"/>
    <w:rsid w:val="64A10375"/>
    <w:rsid w:val="64CE1A37"/>
    <w:rsid w:val="64E27E4B"/>
    <w:rsid w:val="6509385A"/>
    <w:rsid w:val="652129AB"/>
    <w:rsid w:val="65267024"/>
    <w:rsid w:val="653A4E32"/>
    <w:rsid w:val="65981FAB"/>
    <w:rsid w:val="6605175D"/>
    <w:rsid w:val="66246472"/>
    <w:rsid w:val="664F23C4"/>
    <w:rsid w:val="665B203B"/>
    <w:rsid w:val="66766CBA"/>
    <w:rsid w:val="66857732"/>
    <w:rsid w:val="6693392A"/>
    <w:rsid w:val="66E03A25"/>
    <w:rsid w:val="66FB71D3"/>
    <w:rsid w:val="670B2DA9"/>
    <w:rsid w:val="67177D85"/>
    <w:rsid w:val="675272D1"/>
    <w:rsid w:val="677D7DC1"/>
    <w:rsid w:val="67B44C44"/>
    <w:rsid w:val="67E72316"/>
    <w:rsid w:val="68087D53"/>
    <w:rsid w:val="684B28B8"/>
    <w:rsid w:val="6870766D"/>
    <w:rsid w:val="68780194"/>
    <w:rsid w:val="687F015B"/>
    <w:rsid w:val="69280027"/>
    <w:rsid w:val="6951323E"/>
    <w:rsid w:val="695207F5"/>
    <w:rsid w:val="69676EB0"/>
    <w:rsid w:val="69CF3CD3"/>
    <w:rsid w:val="6A2C4395"/>
    <w:rsid w:val="6A3963F6"/>
    <w:rsid w:val="6A5419B1"/>
    <w:rsid w:val="6B014FD4"/>
    <w:rsid w:val="6B1C767A"/>
    <w:rsid w:val="6B2A6550"/>
    <w:rsid w:val="6B2E5ABB"/>
    <w:rsid w:val="6B5032A2"/>
    <w:rsid w:val="6B993C1E"/>
    <w:rsid w:val="6BEC6B5B"/>
    <w:rsid w:val="6C0835B0"/>
    <w:rsid w:val="6C5630FD"/>
    <w:rsid w:val="6C7D068A"/>
    <w:rsid w:val="6C8A6A41"/>
    <w:rsid w:val="6C92192E"/>
    <w:rsid w:val="6CA9147F"/>
    <w:rsid w:val="6CB3798A"/>
    <w:rsid w:val="6D525B25"/>
    <w:rsid w:val="6D6978BC"/>
    <w:rsid w:val="6D6E5939"/>
    <w:rsid w:val="6E322CF5"/>
    <w:rsid w:val="6EAD293B"/>
    <w:rsid w:val="6ECC4355"/>
    <w:rsid w:val="6F024263"/>
    <w:rsid w:val="6F064610"/>
    <w:rsid w:val="6F1C79B1"/>
    <w:rsid w:val="6F2E2A78"/>
    <w:rsid w:val="6F5C4F10"/>
    <w:rsid w:val="6F616041"/>
    <w:rsid w:val="6FBC3D92"/>
    <w:rsid w:val="70047EDB"/>
    <w:rsid w:val="70162485"/>
    <w:rsid w:val="705646D1"/>
    <w:rsid w:val="70C01ED8"/>
    <w:rsid w:val="70D02690"/>
    <w:rsid w:val="70D32750"/>
    <w:rsid w:val="70F158F3"/>
    <w:rsid w:val="71243C63"/>
    <w:rsid w:val="716C0E80"/>
    <w:rsid w:val="719368FA"/>
    <w:rsid w:val="719C25CF"/>
    <w:rsid w:val="71E02DC1"/>
    <w:rsid w:val="71FA4713"/>
    <w:rsid w:val="724C0BA1"/>
    <w:rsid w:val="7253195A"/>
    <w:rsid w:val="72A2709C"/>
    <w:rsid w:val="72C720C4"/>
    <w:rsid w:val="72CC6113"/>
    <w:rsid w:val="73010CE9"/>
    <w:rsid w:val="73CC760A"/>
    <w:rsid w:val="73FD6FF0"/>
    <w:rsid w:val="743805BD"/>
    <w:rsid w:val="74405673"/>
    <w:rsid w:val="7449035E"/>
    <w:rsid w:val="74524093"/>
    <w:rsid w:val="74604C6A"/>
    <w:rsid w:val="75093403"/>
    <w:rsid w:val="751A659E"/>
    <w:rsid w:val="7585736D"/>
    <w:rsid w:val="758D092B"/>
    <w:rsid w:val="75B37ACD"/>
    <w:rsid w:val="75BE0ADD"/>
    <w:rsid w:val="76052717"/>
    <w:rsid w:val="761B5E70"/>
    <w:rsid w:val="76352D46"/>
    <w:rsid w:val="765D3A06"/>
    <w:rsid w:val="768921E3"/>
    <w:rsid w:val="76D12C24"/>
    <w:rsid w:val="76D23B71"/>
    <w:rsid w:val="770E0B94"/>
    <w:rsid w:val="77163798"/>
    <w:rsid w:val="77185B7F"/>
    <w:rsid w:val="77190378"/>
    <w:rsid w:val="778359BB"/>
    <w:rsid w:val="778E6FCE"/>
    <w:rsid w:val="77D85AD0"/>
    <w:rsid w:val="77FA5285"/>
    <w:rsid w:val="7819147C"/>
    <w:rsid w:val="78420E0B"/>
    <w:rsid w:val="78495879"/>
    <w:rsid w:val="78B328B0"/>
    <w:rsid w:val="78F64203"/>
    <w:rsid w:val="790B7962"/>
    <w:rsid w:val="791E4907"/>
    <w:rsid w:val="7920586A"/>
    <w:rsid w:val="79495563"/>
    <w:rsid w:val="79F228C9"/>
    <w:rsid w:val="7A0F70D4"/>
    <w:rsid w:val="7A510D9D"/>
    <w:rsid w:val="7A9B066B"/>
    <w:rsid w:val="7AAC3B2D"/>
    <w:rsid w:val="7AB357AC"/>
    <w:rsid w:val="7AD26045"/>
    <w:rsid w:val="7AE941A4"/>
    <w:rsid w:val="7B5B0758"/>
    <w:rsid w:val="7B6702A0"/>
    <w:rsid w:val="7B8D6218"/>
    <w:rsid w:val="7B971AE9"/>
    <w:rsid w:val="7BA9013F"/>
    <w:rsid w:val="7BF91C47"/>
    <w:rsid w:val="7C17470D"/>
    <w:rsid w:val="7C4335D3"/>
    <w:rsid w:val="7C5F60E2"/>
    <w:rsid w:val="7C8F243F"/>
    <w:rsid w:val="7CE333CD"/>
    <w:rsid w:val="7D2925BE"/>
    <w:rsid w:val="7D4F1768"/>
    <w:rsid w:val="7D5C49EB"/>
    <w:rsid w:val="7D62030A"/>
    <w:rsid w:val="7D825826"/>
    <w:rsid w:val="7D910439"/>
    <w:rsid w:val="7DB67BC5"/>
    <w:rsid w:val="7E1036E0"/>
    <w:rsid w:val="7E1C5F55"/>
    <w:rsid w:val="7E563953"/>
    <w:rsid w:val="7E5C275F"/>
    <w:rsid w:val="7E857FD8"/>
    <w:rsid w:val="7E9E4BBC"/>
    <w:rsid w:val="7EA23B8E"/>
    <w:rsid w:val="7EB005FA"/>
    <w:rsid w:val="7FDA1B99"/>
    <w:rsid w:val="7FE7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rFonts w:ascii="Times New Roman" w:hAnsi="Times New Roman" w:cs="Times New Roman"/>
      <w:sz w:val="24"/>
      <w:szCs w:val="24"/>
    </w:rPr>
  </w:style>
  <w:style w:type="character" w:customStyle="1" w:styleId="8">
    <w:name w:val="页脚 字符"/>
    <w:basedOn w:val="7"/>
    <w:link w:val="3"/>
    <w:autoRedefine/>
    <w:qFormat/>
    <w:uiPriority w:val="99"/>
    <w:rPr>
      <w:sz w:val="18"/>
      <w:szCs w:val="18"/>
    </w:rPr>
  </w:style>
  <w:style w:type="character" w:customStyle="1" w:styleId="9">
    <w:name w:val="页眉 字符"/>
    <w:basedOn w:val="7"/>
    <w:link w:val="4"/>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8223</Words>
  <Characters>8375</Characters>
  <Lines>49</Lines>
  <Paragraphs>13</Paragraphs>
  <TotalTime>9</TotalTime>
  <ScaleCrop>false</ScaleCrop>
  <LinksUpToDate>false</LinksUpToDate>
  <CharactersWithSpaces>8431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2021-10-06T03:50:00Z</dcterms:created>
  <dc:creator>W</dc:creator>
  <cp:lastModifiedBy>Administrator</cp:lastModifiedBy>
  <cp:lastPrinted>2024-03-02T07:51:00Z</cp:lastPrinted>
  <dcterms:modified xsi:type="dcterms:W3CDTF">2025-07-12T06:52:28Z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E6A087FCD37C49A3B80D86C70569DBD9_13</vt:lpwstr>
  </property>
  <property fmtid="{D5CDD505-2E9C-101B-9397-08002B2CF9AE}" pid="4" name="KSOTemplateDocerSaveRecord">
    <vt:lpwstr>eyJoZGlkIjoiNTYyMDUzOGVhNTY0ZTMwYjA0MDQ3YTE0MjY1YjVkY2EiLCJ1c2VySWQiOiI3MDE5NTM1MTMifQ==</vt:lpwstr>
  </property>
</Properties>
</file>